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F66C3" w14:textId="5D1C7EE2" w:rsidR="00A2497E" w:rsidRPr="00EE7169" w:rsidRDefault="00EE7169" w:rsidP="001B2959">
      <w:pPr>
        <w:spacing w:after="240" w:line="360" w:lineRule="auto"/>
        <w:jc w:val="center"/>
        <w:rPr>
          <w:rFonts w:ascii="Garamond" w:hAnsi="Garamond"/>
          <w:b/>
          <w:sz w:val="32"/>
          <w:szCs w:val="32"/>
        </w:rPr>
      </w:pPr>
      <w:r>
        <w:rPr>
          <w:rFonts w:ascii="Garamond" w:hAnsi="Garamond"/>
          <w:b/>
          <w:sz w:val="32"/>
          <w:szCs w:val="32"/>
        </w:rPr>
        <w:t xml:space="preserve">Hayek, </w:t>
      </w:r>
      <w:r w:rsidR="00A2497E" w:rsidRPr="00EE7169">
        <w:rPr>
          <w:rFonts w:ascii="Garamond" w:hAnsi="Garamond"/>
          <w:b/>
          <w:sz w:val="32"/>
          <w:szCs w:val="32"/>
        </w:rPr>
        <w:t>Local Information and the Decentralization of State-Owned Enterprises in China</w:t>
      </w:r>
      <w:r w:rsidR="00A2497E" w:rsidRPr="00EE7169">
        <w:rPr>
          <w:rStyle w:val="FootnoteReference"/>
          <w:rFonts w:ascii="Garamond" w:hAnsi="Garamond"/>
          <w:b/>
          <w:sz w:val="32"/>
          <w:szCs w:val="32"/>
        </w:rPr>
        <w:footnoteReference w:id="1"/>
      </w:r>
    </w:p>
    <w:tbl>
      <w:tblPr>
        <w:tblW w:w="0" w:type="auto"/>
        <w:jc w:val="center"/>
        <w:tblLook w:val="04A0" w:firstRow="1" w:lastRow="0" w:firstColumn="1" w:lastColumn="0" w:noHBand="0" w:noVBand="1"/>
      </w:tblPr>
      <w:tblGrid>
        <w:gridCol w:w="4428"/>
        <w:gridCol w:w="4428"/>
      </w:tblGrid>
      <w:tr w:rsidR="00A2497E" w:rsidRPr="00EE7169" w14:paraId="6E0AD5B1" w14:textId="77777777" w:rsidTr="00072492">
        <w:trPr>
          <w:jc w:val="center"/>
        </w:trPr>
        <w:tc>
          <w:tcPr>
            <w:tcW w:w="4428" w:type="dxa"/>
            <w:shd w:val="clear" w:color="auto" w:fill="auto"/>
          </w:tcPr>
          <w:p w14:paraId="27D64AF1" w14:textId="77777777" w:rsidR="00A2497E" w:rsidRPr="00EE7169" w:rsidRDefault="00A2497E" w:rsidP="001B2959">
            <w:pPr>
              <w:snapToGrid w:val="0"/>
              <w:spacing w:line="360" w:lineRule="auto"/>
              <w:jc w:val="right"/>
              <w:rPr>
                <w:rFonts w:ascii="Garamond" w:hAnsi="Garamond"/>
                <w:sz w:val="24"/>
                <w:szCs w:val="24"/>
              </w:rPr>
            </w:pPr>
            <w:r w:rsidRPr="00EE7169">
              <w:rPr>
                <w:rFonts w:ascii="Garamond" w:hAnsi="Garamond"/>
                <w:sz w:val="24"/>
                <w:szCs w:val="24"/>
              </w:rPr>
              <w:t>Zhangkai Huang</w:t>
            </w:r>
          </w:p>
        </w:tc>
        <w:tc>
          <w:tcPr>
            <w:tcW w:w="4428" w:type="dxa"/>
            <w:shd w:val="clear" w:color="auto" w:fill="auto"/>
          </w:tcPr>
          <w:p w14:paraId="6305BC04" w14:textId="77777777" w:rsidR="00A2497E" w:rsidRPr="00EE7169" w:rsidRDefault="00A2497E" w:rsidP="001B2959">
            <w:pPr>
              <w:snapToGrid w:val="0"/>
              <w:spacing w:line="360" w:lineRule="auto"/>
              <w:rPr>
                <w:rFonts w:ascii="Garamond" w:hAnsi="Garamond"/>
                <w:sz w:val="24"/>
                <w:szCs w:val="24"/>
              </w:rPr>
            </w:pPr>
            <w:r w:rsidRPr="00EE7169">
              <w:rPr>
                <w:rFonts w:ascii="Garamond" w:hAnsi="Garamond"/>
                <w:sz w:val="24"/>
                <w:szCs w:val="24"/>
              </w:rPr>
              <w:t>Tsinghua University</w:t>
            </w:r>
          </w:p>
        </w:tc>
      </w:tr>
      <w:tr w:rsidR="00A2497E" w:rsidRPr="00EE7169" w14:paraId="6ACB1C8F" w14:textId="77777777" w:rsidTr="00072492">
        <w:trPr>
          <w:jc w:val="center"/>
        </w:trPr>
        <w:tc>
          <w:tcPr>
            <w:tcW w:w="4428" w:type="dxa"/>
            <w:shd w:val="clear" w:color="auto" w:fill="auto"/>
          </w:tcPr>
          <w:p w14:paraId="30B4EB40" w14:textId="77777777" w:rsidR="00A2497E" w:rsidRPr="00EE7169" w:rsidRDefault="00A2497E" w:rsidP="001B2959">
            <w:pPr>
              <w:snapToGrid w:val="0"/>
              <w:spacing w:line="360" w:lineRule="auto"/>
              <w:jc w:val="right"/>
              <w:rPr>
                <w:rFonts w:ascii="Garamond" w:hAnsi="Garamond"/>
                <w:sz w:val="24"/>
                <w:szCs w:val="24"/>
              </w:rPr>
            </w:pPr>
            <w:r w:rsidRPr="00EE7169">
              <w:rPr>
                <w:rFonts w:ascii="Garamond" w:hAnsi="Garamond"/>
                <w:sz w:val="24"/>
                <w:szCs w:val="24"/>
              </w:rPr>
              <w:t>Lixing Li</w:t>
            </w:r>
          </w:p>
        </w:tc>
        <w:tc>
          <w:tcPr>
            <w:tcW w:w="4428" w:type="dxa"/>
            <w:shd w:val="clear" w:color="auto" w:fill="auto"/>
          </w:tcPr>
          <w:p w14:paraId="27B1CB25" w14:textId="77777777" w:rsidR="00A2497E" w:rsidRPr="00EE7169" w:rsidRDefault="00A2497E" w:rsidP="001B2959">
            <w:pPr>
              <w:snapToGrid w:val="0"/>
              <w:spacing w:line="360" w:lineRule="auto"/>
              <w:rPr>
                <w:rFonts w:ascii="Garamond" w:hAnsi="Garamond"/>
                <w:sz w:val="24"/>
                <w:szCs w:val="24"/>
              </w:rPr>
            </w:pPr>
            <w:r w:rsidRPr="00EE7169">
              <w:rPr>
                <w:rFonts w:ascii="Garamond" w:hAnsi="Garamond"/>
                <w:sz w:val="24"/>
                <w:szCs w:val="24"/>
              </w:rPr>
              <w:t>Peking University</w:t>
            </w:r>
          </w:p>
        </w:tc>
      </w:tr>
      <w:tr w:rsidR="00A2497E" w:rsidRPr="00EE7169" w14:paraId="1423CBFF" w14:textId="77777777" w:rsidTr="00072492">
        <w:trPr>
          <w:jc w:val="center"/>
        </w:trPr>
        <w:tc>
          <w:tcPr>
            <w:tcW w:w="4428" w:type="dxa"/>
            <w:shd w:val="clear" w:color="auto" w:fill="auto"/>
          </w:tcPr>
          <w:p w14:paraId="0D139D27" w14:textId="77777777" w:rsidR="00A2497E" w:rsidRPr="00EE7169" w:rsidRDefault="00A2497E" w:rsidP="001B2959">
            <w:pPr>
              <w:snapToGrid w:val="0"/>
              <w:spacing w:line="360" w:lineRule="auto"/>
              <w:jc w:val="right"/>
              <w:rPr>
                <w:rFonts w:ascii="Garamond" w:hAnsi="Garamond"/>
                <w:sz w:val="24"/>
                <w:szCs w:val="24"/>
              </w:rPr>
            </w:pPr>
            <w:r w:rsidRPr="00EE7169">
              <w:rPr>
                <w:rFonts w:ascii="Garamond" w:hAnsi="Garamond"/>
                <w:sz w:val="24"/>
                <w:szCs w:val="24"/>
              </w:rPr>
              <w:t>Guangrong Ma</w:t>
            </w:r>
          </w:p>
        </w:tc>
        <w:tc>
          <w:tcPr>
            <w:tcW w:w="4428" w:type="dxa"/>
            <w:shd w:val="clear" w:color="auto" w:fill="auto"/>
          </w:tcPr>
          <w:p w14:paraId="448096BE" w14:textId="77777777" w:rsidR="00A2497E" w:rsidRPr="00EE7169" w:rsidRDefault="00A2497E" w:rsidP="001B2959">
            <w:pPr>
              <w:snapToGrid w:val="0"/>
              <w:spacing w:line="360" w:lineRule="auto"/>
              <w:rPr>
                <w:rFonts w:ascii="Garamond" w:hAnsi="Garamond"/>
                <w:sz w:val="24"/>
                <w:szCs w:val="24"/>
              </w:rPr>
            </w:pPr>
            <w:r w:rsidRPr="00EE7169">
              <w:rPr>
                <w:rFonts w:ascii="Garamond" w:hAnsi="Garamond"/>
                <w:sz w:val="24"/>
                <w:szCs w:val="24"/>
              </w:rPr>
              <w:t>Renmin University of China</w:t>
            </w:r>
          </w:p>
        </w:tc>
      </w:tr>
      <w:tr w:rsidR="00A2497E" w:rsidRPr="00EE7169" w14:paraId="61D39ABC" w14:textId="77777777" w:rsidTr="00072492">
        <w:trPr>
          <w:jc w:val="center"/>
        </w:trPr>
        <w:tc>
          <w:tcPr>
            <w:tcW w:w="4428" w:type="dxa"/>
            <w:shd w:val="clear" w:color="auto" w:fill="auto"/>
          </w:tcPr>
          <w:p w14:paraId="3C55A85D" w14:textId="77777777" w:rsidR="00A2497E" w:rsidRPr="00EE7169" w:rsidRDefault="00A2497E" w:rsidP="001B2959">
            <w:pPr>
              <w:snapToGrid w:val="0"/>
              <w:spacing w:line="360" w:lineRule="auto"/>
              <w:jc w:val="right"/>
              <w:rPr>
                <w:rFonts w:ascii="Garamond" w:hAnsi="Garamond"/>
                <w:sz w:val="24"/>
                <w:szCs w:val="24"/>
              </w:rPr>
            </w:pPr>
            <w:r w:rsidRPr="00EE7169">
              <w:rPr>
                <w:rFonts w:ascii="Garamond" w:hAnsi="Garamond"/>
                <w:sz w:val="24"/>
                <w:szCs w:val="24"/>
              </w:rPr>
              <w:t>Lixin Colin Xu</w:t>
            </w:r>
          </w:p>
        </w:tc>
        <w:tc>
          <w:tcPr>
            <w:tcW w:w="4428" w:type="dxa"/>
            <w:shd w:val="clear" w:color="auto" w:fill="auto"/>
          </w:tcPr>
          <w:p w14:paraId="3D28D080" w14:textId="68061429" w:rsidR="00A2497E" w:rsidRPr="00EE7169" w:rsidRDefault="00A2497E" w:rsidP="001B2959">
            <w:pPr>
              <w:snapToGrid w:val="0"/>
              <w:spacing w:line="360" w:lineRule="auto"/>
              <w:rPr>
                <w:rFonts w:ascii="Garamond" w:hAnsi="Garamond"/>
                <w:sz w:val="24"/>
                <w:szCs w:val="24"/>
              </w:rPr>
            </w:pPr>
            <w:r w:rsidRPr="00EE7169">
              <w:rPr>
                <w:rFonts w:ascii="Garamond" w:hAnsi="Garamond"/>
                <w:sz w:val="24"/>
                <w:szCs w:val="24"/>
              </w:rPr>
              <w:t>World Bank</w:t>
            </w:r>
          </w:p>
        </w:tc>
      </w:tr>
    </w:tbl>
    <w:p w14:paraId="0DE40F24" w14:textId="77777777" w:rsidR="00A2497E" w:rsidRPr="00EE7169" w:rsidRDefault="00A2497E" w:rsidP="00A2497E">
      <w:pPr>
        <w:spacing w:after="120"/>
        <w:rPr>
          <w:rFonts w:ascii="Garamond" w:hAnsi="Garamond"/>
          <w:b/>
          <w:sz w:val="24"/>
          <w:szCs w:val="24"/>
        </w:rPr>
      </w:pPr>
    </w:p>
    <w:p w14:paraId="0125A0B0" w14:textId="0D1823A8" w:rsidR="00A2497E" w:rsidRPr="00EE7169" w:rsidRDefault="00A2497E" w:rsidP="001B2959">
      <w:pPr>
        <w:spacing w:after="120" w:line="360" w:lineRule="auto"/>
        <w:rPr>
          <w:rFonts w:ascii="Garamond" w:hAnsi="Garamond"/>
          <w:sz w:val="24"/>
          <w:szCs w:val="24"/>
        </w:rPr>
      </w:pPr>
      <w:r w:rsidRPr="00EE7169">
        <w:rPr>
          <w:rFonts w:ascii="Garamond" w:hAnsi="Garamond"/>
          <w:b/>
          <w:sz w:val="24"/>
          <w:szCs w:val="24"/>
        </w:rPr>
        <w:t xml:space="preserve">Abstract.  </w:t>
      </w:r>
      <w:r w:rsidRPr="00EE7169">
        <w:rPr>
          <w:rFonts w:ascii="Garamond" w:hAnsi="Garamond"/>
          <w:sz w:val="24"/>
          <w:szCs w:val="24"/>
        </w:rPr>
        <w:t xml:space="preserve">Hayek (1945) argues that local knowledge </w:t>
      </w:r>
      <w:r w:rsidR="001B2959" w:rsidRPr="00EE7169">
        <w:rPr>
          <w:rFonts w:ascii="Garamond" w:hAnsi="Garamond"/>
          <w:sz w:val="24"/>
          <w:szCs w:val="24"/>
        </w:rPr>
        <w:t xml:space="preserve">is </w:t>
      </w:r>
      <w:r w:rsidRPr="00EE7169">
        <w:rPr>
          <w:rFonts w:ascii="Garamond" w:hAnsi="Garamond"/>
          <w:sz w:val="24"/>
          <w:szCs w:val="24"/>
        </w:rPr>
        <w:t>a key for understanding the efficiency of alternative economic systems and whether production should be organized in centralized or decentralized ways. In this paper we test Hayek’s central predictions by examining the causes of the government’s decision to decentralize state-owned enterprises (SOEs) under its oversight</w:t>
      </w:r>
      <w:r w:rsidRPr="00EE7169" w:rsidDel="00317478">
        <w:rPr>
          <w:rFonts w:ascii="Garamond" w:hAnsi="Garamond"/>
          <w:sz w:val="24"/>
          <w:szCs w:val="24"/>
        </w:rPr>
        <w:t xml:space="preserve"> </w:t>
      </w:r>
      <w:r w:rsidRPr="00EE7169">
        <w:rPr>
          <w:rFonts w:ascii="Garamond" w:hAnsi="Garamond"/>
          <w:sz w:val="24"/>
          <w:szCs w:val="24"/>
        </w:rPr>
        <w:t>from 1998 to 2007</w:t>
      </w:r>
      <w:r w:rsidR="007C10E0">
        <w:rPr>
          <w:rFonts w:ascii="Garamond" w:hAnsi="Garamond"/>
          <w:sz w:val="24"/>
          <w:szCs w:val="24"/>
        </w:rPr>
        <w:t xml:space="preserve"> in China</w:t>
      </w:r>
      <w:r w:rsidRPr="00EE7169">
        <w:rPr>
          <w:rFonts w:ascii="Garamond" w:hAnsi="Garamond"/>
          <w:sz w:val="24"/>
          <w:szCs w:val="24"/>
        </w:rPr>
        <w:t xml:space="preserve">. </w:t>
      </w:r>
      <w:r w:rsidR="00EE7169" w:rsidRPr="00EE7169">
        <w:rPr>
          <w:rFonts w:ascii="Garamond" w:hAnsi="Garamond"/>
          <w:sz w:val="24"/>
          <w:szCs w:val="24"/>
        </w:rPr>
        <w:t>We assume that</w:t>
      </w:r>
      <w:r w:rsidR="001B2959" w:rsidRPr="00EE7169">
        <w:rPr>
          <w:rFonts w:ascii="Garamond" w:hAnsi="Garamond"/>
          <w:sz w:val="24"/>
          <w:szCs w:val="24"/>
        </w:rPr>
        <w:t xml:space="preserve"> the</w:t>
      </w:r>
      <w:r w:rsidRPr="00EE7169">
        <w:rPr>
          <w:rFonts w:ascii="Garamond" w:hAnsi="Garamond"/>
          <w:sz w:val="24"/>
          <w:szCs w:val="24"/>
        </w:rPr>
        <w:t xml:space="preserve"> government that is located closer to an SOE </w:t>
      </w:r>
      <w:r w:rsidR="001B2959" w:rsidRPr="00EE7169">
        <w:rPr>
          <w:rFonts w:ascii="Garamond" w:hAnsi="Garamond"/>
          <w:sz w:val="24"/>
          <w:szCs w:val="24"/>
        </w:rPr>
        <w:t>has</w:t>
      </w:r>
      <w:r w:rsidRPr="00EE7169">
        <w:rPr>
          <w:rFonts w:ascii="Garamond" w:hAnsi="Garamond"/>
          <w:sz w:val="24"/>
          <w:szCs w:val="24"/>
        </w:rPr>
        <w:t xml:space="preserve"> mor</w:t>
      </w:r>
      <w:r w:rsidR="00EE7169" w:rsidRPr="00EE7169">
        <w:rPr>
          <w:rFonts w:ascii="Garamond" w:hAnsi="Garamond"/>
          <w:sz w:val="24"/>
          <w:szCs w:val="24"/>
        </w:rPr>
        <w:t xml:space="preserve">e information over </w:t>
      </w:r>
      <w:r w:rsidR="00F05687">
        <w:rPr>
          <w:rFonts w:ascii="Garamond" w:hAnsi="Garamond" w:hint="eastAsia"/>
          <w:sz w:val="24"/>
          <w:szCs w:val="24"/>
        </w:rPr>
        <w:t>that enterprise</w:t>
      </w:r>
      <w:r w:rsidR="00EE7169" w:rsidRPr="00EE7169">
        <w:rPr>
          <w:rFonts w:ascii="Garamond" w:hAnsi="Garamond"/>
          <w:sz w:val="24"/>
          <w:szCs w:val="24"/>
        </w:rPr>
        <w:t>. Then when the distance between the oversight government and the enterprise is greater,</w:t>
      </w:r>
      <w:r w:rsidRPr="00EE7169">
        <w:rPr>
          <w:rFonts w:ascii="Garamond" w:hAnsi="Garamond"/>
          <w:sz w:val="24"/>
          <w:szCs w:val="24"/>
        </w:rPr>
        <w:t xml:space="preserve"> a</w:t>
      </w:r>
      <w:r w:rsidR="00EE7169">
        <w:rPr>
          <w:rFonts w:ascii="Garamond" w:hAnsi="Garamond"/>
          <w:sz w:val="24"/>
          <w:szCs w:val="24"/>
        </w:rPr>
        <w:t>n</w:t>
      </w:r>
      <w:r w:rsidRPr="00EE7169">
        <w:rPr>
          <w:rFonts w:ascii="Garamond" w:hAnsi="Garamond"/>
          <w:sz w:val="24"/>
          <w:szCs w:val="24"/>
        </w:rPr>
        <w:t xml:space="preserve"> enterprise should be more likely to be decentralized (i.e., being delegated to a lower level of government). Moreover, where the oversight government’s uncertainty over an enterprise’s performance or communication costs </w:t>
      </w:r>
      <w:r w:rsidR="00EE7169">
        <w:rPr>
          <w:rFonts w:ascii="Garamond" w:hAnsi="Garamond"/>
          <w:sz w:val="24"/>
          <w:szCs w:val="24"/>
        </w:rPr>
        <w:t>is</w:t>
      </w:r>
      <w:r w:rsidRPr="00EE7169">
        <w:rPr>
          <w:rFonts w:ascii="Garamond" w:hAnsi="Garamond"/>
          <w:sz w:val="24"/>
          <w:szCs w:val="24"/>
        </w:rPr>
        <w:t xml:space="preserve"> greater, the oversight government is more likely to decentralize enterprises so that lower oversight governments can better take advantage of local information. We find empirical support for these implications. The results suggest that Hayek’s insight on the importance of local information explains the governance of state-owned enterprises quite well. </w:t>
      </w:r>
    </w:p>
    <w:p w14:paraId="1B9233CA" w14:textId="77777777" w:rsidR="00A2497E" w:rsidRPr="00EE7169" w:rsidRDefault="00A2497E" w:rsidP="001B2959">
      <w:pPr>
        <w:spacing w:after="120" w:line="360" w:lineRule="auto"/>
        <w:rPr>
          <w:rFonts w:ascii="Garamond" w:hAnsi="Garamond"/>
          <w:sz w:val="24"/>
          <w:szCs w:val="24"/>
        </w:rPr>
      </w:pPr>
      <w:r w:rsidRPr="00EE7169">
        <w:rPr>
          <w:rFonts w:ascii="Garamond" w:hAnsi="Garamond"/>
          <w:b/>
          <w:sz w:val="24"/>
          <w:szCs w:val="24"/>
        </w:rPr>
        <w:t>Keywords</w:t>
      </w:r>
      <w:r w:rsidRPr="00EE7169">
        <w:rPr>
          <w:rFonts w:ascii="Garamond" w:hAnsi="Garamond"/>
          <w:sz w:val="24"/>
          <w:szCs w:val="24"/>
        </w:rPr>
        <w:t>: Local information; organizational structure; decentralization; distance.</w:t>
      </w:r>
    </w:p>
    <w:p w14:paraId="54B2F1A5" w14:textId="258E0F17" w:rsidR="001B2959" w:rsidRPr="00EE7169" w:rsidRDefault="001B2959" w:rsidP="001B2959">
      <w:pPr>
        <w:spacing w:after="120" w:line="360" w:lineRule="auto"/>
        <w:rPr>
          <w:rFonts w:ascii="Garamond" w:hAnsi="Garamond"/>
          <w:sz w:val="24"/>
          <w:szCs w:val="24"/>
        </w:rPr>
      </w:pPr>
      <w:r w:rsidRPr="00EE7169">
        <w:rPr>
          <w:rFonts w:ascii="Garamond" w:hAnsi="Garamond"/>
          <w:b/>
          <w:sz w:val="24"/>
          <w:szCs w:val="24"/>
        </w:rPr>
        <w:t>JEL codes</w:t>
      </w:r>
      <w:r w:rsidRPr="00EE7169">
        <w:rPr>
          <w:rFonts w:ascii="Garamond" w:hAnsi="Garamond"/>
          <w:sz w:val="24"/>
          <w:szCs w:val="24"/>
        </w:rPr>
        <w:t>: D23, D83, L22, L23, P20, P31</w:t>
      </w:r>
    </w:p>
    <w:p w14:paraId="52D99A89" w14:textId="77777777" w:rsidR="00A2497E" w:rsidRPr="00EE7169" w:rsidRDefault="00A2497E" w:rsidP="00A2497E">
      <w:pPr>
        <w:widowControl/>
        <w:jc w:val="left"/>
        <w:rPr>
          <w:rFonts w:ascii="Garamond" w:hAnsi="Garamond"/>
          <w:b/>
          <w:sz w:val="24"/>
          <w:szCs w:val="24"/>
        </w:rPr>
      </w:pPr>
      <w:r w:rsidRPr="00EE7169">
        <w:rPr>
          <w:rFonts w:ascii="Garamond" w:hAnsi="Garamond"/>
          <w:b/>
          <w:sz w:val="24"/>
          <w:szCs w:val="24"/>
        </w:rPr>
        <w:br w:type="page"/>
      </w:r>
    </w:p>
    <w:p w14:paraId="6FE65A68" w14:textId="41B90574" w:rsidR="00A2497E" w:rsidRPr="00EE7169" w:rsidRDefault="00A2497E" w:rsidP="00AC314F">
      <w:pPr>
        <w:pStyle w:val="ListParagraph"/>
        <w:spacing w:after="120" w:line="480" w:lineRule="auto"/>
        <w:ind w:firstLineChars="0" w:firstLine="0"/>
        <w:rPr>
          <w:rFonts w:ascii="Garamond" w:hAnsi="Garamond"/>
          <w:sz w:val="24"/>
          <w:szCs w:val="24"/>
        </w:rPr>
      </w:pPr>
      <w:r w:rsidRPr="00EE7169">
        <w:rPr>
          <w:rFonts w:ascii="Garamond" w:hAnsi="Garamond"/>
          <w:sz w:val="24"/>
          <w:szCs w:val="24"/>
        </w:rPr>
        <w:lastRenderedPageBreak/>
        <w:t>“If we can agree that the economic problem of society is manly one of rapid adaptation to changes in the particular circumstances of time and space, it would seem to follow that the ultimate</w:t>
      </w:r>
      <w:r w:rsidR="00EE7169">
        <w:rPr>
          <w:rFonts w:ascii="Garamond" w:hAnsi="Garamond"/>
          <w:sz w:val="24"/>
          <w:szCs w:val="24"/>
        </w:rPr>
        <w:t xml:space="preserve"> </w:t>
      </w:r>
      <w:r w:rsidRPr="00EE7169">
        <w:rPr>
          <w:rFonts w:ascii="Garamond" w:hAnsi="Garamond"/>
          <w:sz w:val="24"/>
          <w:szCs w:val="24"/>
        </w:rPr>
        <w:t xml:space="preserve">decisions must be left to the people who are familiar with these circumstances, who know directly of the relevant changes and of the sources immediately available to meet them. We cannot expect that this problem will be solved by first communicating all this knowledge to a central board, which, after integrating </w:t>
      </w:r>
      <w:r w:rsidRPr="00EE7169">
        <w:rPr>
          <w:rFonts w:ascii="Garamond" w:hAnsi="Garamond"/>
          <w:i/>
          <w:sz w:val="24"/>
          <w:szCs w:val="24"/>
        </w:rPr>
        <w:t>all</w:t>
      </w:r>
      <w:r w:rsidRPr="00EE7169">
        <w:rPr>
          <w:rFonts w:ascii="Garamond" w:hAnsi="Garamond"/>
          <w:sz w:val="24"/>
          <w:szCs w:val="24"/>
        </w:rPr>
        <w:t xml:space="preserve"> knowledge, issues its orders. We must solve it by some form of decentralization.”</w:t>
      </w:r>
    </w:p>
    <w:p w14:paraId="73272896" w14:textId="77777777" w:rsidR="00A2497E" w:rsidRPr="00EE7169" w:rsidRDefault="00A2497E" w:rsidP="00AC314F">
      <w:pPr>
        <w:spacing w:after="120" w:line="480" w:lineRule="auto"/>
        <w:jc w:val="right"/>
        <w:rPr>
          <w:rFonts w:ascii="Garamond" w:hAnsi="Garamond"/>
          <w:b/>
          <w:sz w:val="24"/>
          <w:szCs w:val="24"/>
        </w:rPr>
      </w:pPr>
      <w:r w:rsidRPr="00EE7169">
        <w:rPr>
          <w:rFonts w:ascii="Garamond" w:hAnsi="Garamond"/>
          <w:b/>
          <w:sz w:val="24"/>
          <w:szCs w:val="24"/>
        </w:rPr>
        <w:t>——— Hayek (1945)</w:t>
      </w:r>
    </w:p>
    <w:p w14:paraId="6395CD9E" w14:textId="77777777" w:rsidR="00A2497E" w:rsidRPr="00EE7169" w:rsidRDefault="00A2497E" w:rsidP="00AC314F">
      <w:pPr>
        <w:pStyle w:val="ListParagraph"/>
        <w:numPr>
          <w:ilvl w:val="0"/>
          <w:numId w:val="12"/>
        </w:numPr>
        <w:spacing w:after="120" w:line="480" w:lineRule="auto"/>
        <w:ind w:firstLineChars="0"/>
        <w:rPr>
          <w:rFonts w:ascii="Garamond" w:hAnsi="Garamond"/>
          <w:b/>
          <w:sz w:val="24"/>
          <w:szCs w:val="24"/>
        </w:rPr>
      </w:pPr>
      <w:r w:rsidRPr="00EE7169">
        <w:rPr>
          <w:rFonts w:ascii="Garamond" w:hAnsi="Garamond"/>
          <w:b/>
          <w:sz w:val="24"/>
          <w:szCs w:val="24"/>
        </w:rPr>
        <w:t>Introduction</w:t>
      </w:r>
    </w:p>
    <w:p w14:paraId="04FE1E70" w14:textId="17688E20"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 xml:space="preserve">One of the most important economic dramas in the last century was the emergence and then </w:t>
      </w:r>
      <w:r w:rsidR="00EE7169">
        <w:rPr>
          <w:rFonts w:ascii="Garamond" w:hAnsi="Garamond"/>
          <w:sz w:val="24"/>
          <w:szCs w:val="24"/>
        </w:rPr>
        <w:t xml:space="preserve">the </w:t>
      </w:r>
      <w:r w:rsidRPr="00EE7169">
        <w:rPr>
          <w:rFonts w:ascii="Garamond" w:hAnsi="Garamond"/>
          <w:sz w:val="24"/>
          <w:szCs w:val="24"/>
        </w:rPr>
        <w:t xml:space="preserve">decline of planned economy and state ownership. For </w:t>
      </w:r>
      <w:r w:rsidR="00EE7169">
        <w:rPr>
          <w:rFonts w:ascii="Garamond" w:hAnsi="Garamond"/>
          <w:sz w:val="24"/>
          <w:szCs w:val="24"/>
        </w:rPr>
        <w:t>more than half a century</w:t>
      </w:r>
      <w:r w:rsidRPr="00EE7169">
        <w:rPr>
          <w:rFonts w:ascii="Garamond" w:hAnsi="Garamond"/>
          <w:sz w:val="24"/>
          <w:szCs w:val="24"/>
        </w:rPr>
        <w:t xml:space="preserve">, it seems that socialism could be as productive, if not more, than capitalist economy. </w:t>
      </w:r>
      <w:r w:rsidRPr="00EE7169">
        <w:rPr>
          <w:rFonts w:ascii="Garamond" w:hAnsi="Garamond"/>
          <w:color w:val="333333"/>
          <w:sz w:val="24"/>
          <w:szCs w:val="24"/>
          <w:lang w:val="en"/>
        </w:rPr>
        <w:t>In the 1973 edition of the economics textbook (Samuelson 1973), for instance, Samuelson predicted that the Soviet Union’s income level would probably match that of the United States by 1990 and overtake it by 2010.</w:t>
      </w:r>
      <w:r w:rsidRPr="00EE7169">
        <w:rPr>
          <w:rFonts w:ascii="Garamond" w:hAnsi="Garamond"/>
          <w:sz w:val="24"/>
          <w:szCs w:val="24"/>
        </w:rPr>
        <w:t xml:space="preserve"> The debate of the merits of market socialism in the first half of the last century thus involved top economists such as Oscar Lange, Abba Lerner, Ludwig von Mises, and </w:t>
      </w:r>
      <w:r w:rsidR="00B1190B" w:rsidRPr="003B4038">
        <w:rPr>
          <w:rFonts w:ascii="Times New Roman" w:hAnsi="Times New Roman"/>
          <w:sz w:val="24"/>
          <w:szCs w:val="24"/>
        </w:rPr>
        <w:t>Fr</w:t>
      </w:r>
      <w:r w:rsidR="00B1190B">
        <w:rPr>
          <w:rFonts w:ascii="Times New Roman" w:hAnsi="Times New Roman"/>
          <w:sz w:val="24"/>
          <w:szCs w:val="24"/>
        </w:rPr>
        <w:t>i</w:t>
      </w:r>
      <w:r w:rsidR="00B1190B" w:rsidRPr="003B4038">
        <w:rPr>
          <w:rFonts w:ascii="Times New Roman" w:hAnsi="Times New Roman"/>
          <w:sz w:val="24"/>
          <w:szCs w:val="24"/>
        </w:rPr>
        <w:t>edric</w:t>
      </w:r>
      <w:r w:rsidR="00B1190B">
        <w:rPr>
          <w:rFonts w:ascii="Times New Roman" w:hAnsi="Times New Roman"/>
          <w:sz w:val="24"/>
          <w:szCs w:val="24"/>
        </w:rPr>
        <w:t>h</w:t>
      </w:r>
      <w:r w:rsidR="00B1190B" w:rsidRPr="003B4038">
        <w:rPr>
          <w:rFonts w:ascii="Times New Roman" w:hAnsi="Times New Roman"/>
          <w:sz w:val="24"/>
          <w:szCs w:val="24"/>
        </w:rPr>
        <w:t xml:space="preserve"> </w:t>
      </w:r>
      <w:r w:rsidRPr="00EE7169">
        <w:rPr>
          <w:rFonts w:ascii="Garamond" w:hAnsi="Garamond"/>
          <w:sz w:val="24"/>
          <w:szCs w:val="24"/>
        </w:rPr>
        <w:t>Hayek. The key arguments for why capitalism would be more efficient than socialism are perhaps two: the stronger individual incentives under the stronger protection of private property rights, and the efficiency of utilizing specific information dispersed among individuals and plants (Boettke, 2004). The second point is of course originated from Hayek (1945), one of the most influential papers of all time.</w:t>
      </w:r>
      <w:r w:rsidRPr="00EE7169">
        <w:rPr>
          <w:rStyle w:val="FootnoteReference"/>
          <w:rFonts w:ascii="Garamond" w:hAnsi="Garamond"/>
          <w:sz w:val="24"/>
          <w:szCs w:val="24"/>
        </w:rPr>
        <w:footnoteReference w:id="2"/>
      </w:r>
      <w:r w:rsidRPr="00EE7169">
        <w:rPr>
          <w:rFonts w:ascii="Garamond" w:hAnsi="Garamond"/>
          <w:sz w:val="24"/>
          <w:szCs w:val="24"/>
        </w:rPr>
        <w:t xml:space="preserve"> The key importance of incentives, ownership and property rights for explaining performance in socialist and transitional economies is perhaps one of the most active areas for research in the past few decades </w:t>
      </w:r>
      <w:r w:rsidRPr="00EE7169">
        <w:rPr>
          <w:rFonts w:ascii="Garamond" w:hAnsi="Garamond"/>
          <w:sz w:val="24"/>
          <w:szCs w:val="24"/>
        </w:rPr>
        <w:lastRenderedPageBreak/>
        <w:t xml:space="preserve">(Shleifer and Vishny, 1994; Megginson and Netter 2001; Djankov and Murrell 2002; Knack and Keefer, 1995; Acemoglu, Johnson and Robinson 2001; Li and Xu 2004; Estrin et al., 2009). However, the importance of local information for efficiency in socialist or transitional economies or the state-owned sector, is rarely systematically empirically explored.  </w:t>
      </w:r>
    </w:p>
    <w:p w14:paraId="23E261B7" w14:textId="1D013160"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ab/>
      </w:r>
      <w:r w:rsidR="00A278ED">
        <w:rPr>
          <w:rFonts w:ascii="Garamond" w:hAnsi="Garamond"/>
          <w:sz w:val="24"/>
          <w:szCs w:val="24"/>
        </w:rPr>
        <w:tab/>
      </w:r>
      <w:r w:rsidRPr="00EE7169">
        <w:rPr>
          <w:rFonts w:ascii="Garamond" w:hAnsi="Garamond"/>
          <w:sz w:val="24"/>
          <w:szCs w:val="24"/>
        </w:rPr>
        <w:t>In this paper we examine the cause</w:t>
      </w:r>
      <w:r w:rsidR="0007154A">
        <w:rPr>
          <w:rFonts w:ascii="Garamond" w:hAnsi="Garamond"/>
          <w:sz w:val="24"/>
          <w:szCs w:val="24"/>
        </w:rPr>
        <w:t>s</w:t>
      </w:r>
      <w:r w:rsidRPr="00EE7169">
        <w:rPr>
          <w:rFonts w:ascii="Garamond" w:hAnsi="Garamond"/>
          <w:sz w:val="24"/>
          <w:szCs w:val="24"/>
        </w:rPr>
        <w:t xml:space="preserve"> of decentralizing state-owned enterprises (SOEs) in China, focusing on the role of local information. The data we use is the Annual Survey of Industrial Firms (ASIF)</w:t>
      </w:r>
      <w:r w:rsidR="00F05687">
        <w:rPr>
          <w:rFonts w:ascii="Garamond" w:hAnsi="Garamond" w:hint="eastAsia"/>
          <w:sz w:val="24"/>
          <w:szCs w:val="24"/>
        </w:rPr>
        <w:t xml:space="preserve"> 1998-2007</w:t>
      </w:r>
      <w:r w:rsidRPr="00EE7169">
        <w:rPr>
          <w:rFonts w:ascii="Garamond" w:hAnsi="Garamond"/>
          <w:sz w:val="24"/>
          <w:szCs w:val="24"/>
        </w:rPr>
        <w:t xml:space="preserve">, which covers non-state firms with sales exceeding 5 million </w:t>
      </w:r>
      <w:r w:rsidR="007C46F7" w:rsidRPr="00EE7169">
        <w:rPr>
          <w:rFonts w:ascii="Garamond" w:hAnsi="Garamond"/>
          <w:i/>
          <w:sz w:val="24"/>
          <w:szCs w:val="24"/>
        </w:rPr>
        <w:t>yuan</w:t>
      </w:r>
      <w:r w:rsidR="007C46F7" w:rsidRPr="00EE7169">
        <w:rPr>
          <w:rFonts w:ascii="Garamond" w:hAnsi="Garamond"/>
          <w:sz w:val="24"/>
          <w:szCs w:val="24"/>
        </w:rPr>
        <w:t xml:space="preserve"> </w:t>
      </w:r>
      <w:r w:rsidRPr="00EE7169">
        <w:rPr>
          <w:rFonts w:ascii="Garamond" w:hAnsi="Garamond"/>
          <w:sz w:val="24"/>
          <w:szCs w:val="24"/>
        </w:rPr>
        <w:t xml:space="preserve">and </w:t>
      </w:r>
      <w:r w:rsidRPr="00EE7169">
        <w:rPr>
          <w:rFonts w:ascii="Garamond" w:hAnsi="Garamond"/>
          <w:i/>
          <w:sz w:val="24"/>
          <w:szCs w:val="24"/>
        </w:rPr>
        <w:t>all</w:t>
      </w:r>
      <w:r w:rsidRPr="00EE7169">
        <w:rPr>
          <w:rFonts w:ascii="Garamond" w:hAnsi="Garamond"/>
          <w:sz w:val="24"/>
          <w:szCs w:val="24"/>
        </w:rPr>
        <w:t xml:space="preserve"> SOEs.  Decentralization here is defined as the oversight government </w:t>
      </w:r>
      <w:r w:rsidR="00610A3C">
        <w:rPr>
          <w:rFonts w:ascii="Garamond" w:hAnsi="Garamond"/>
          <w:sz w:val="24"/>
          <w:szCs w:val="24"/>
        </w:rPr>
        <w:t>of a</w:t>
      </w:r>
      <w:r w:rsidR="005904DD">
        <w:rPr>
          <w:rFonts w:ascii="Garamond" w:hAnsi="Garamond" w:hint="eastAsia"/>
          <w:sz w:val="24"/>
          <w:szCs w:val="24"/>
        </w:rPr>
        <w:t>n</w:t>
      </w:r>
      <w:r w:rsidR="00610A3C">
        <w:rPr>
          <w:rFonts w:ascii="Garamond" w:hAnsi="Garamond"/>
          <w:sz w:val="24"/>
          <w:szCs w:val="24"/>
        </w:rPr>
        <w:t xml:space="preserve"> SOE </w:t>
      </w:r>
      <w:r w:rsidRPr="00EE7169">
        <w:rPr>
          <w:rFonts w:ascii="Garamond" w:hAnsi="Garamond"/>
          <w:sz w:val="24"/>
          <w:szCs w:val="24"/>
        </w:rPr>
        <w:t xml:space="preserve">shifting from a higher to a lower level of government—that is, from the central to provincial, </w:t>
      </w:r>
      <w:r w:rsidR="00610A3C">
        <w:rPr>
          <w:rFonts w:ascii="Garamond" w:hAnsi="Garamond"/>
          <w:sz w:val="24"/>
          <w:szCs w:val="24"/>
        </w:rPr>
        <w:t xml:space="preserve">or </w:t>
      </w:r>
      <w:r w:rsidRPr="00EE7169">
        <w:rPr>
          <w:rFonts w:ascii="Garamond" w:hAnsi="Garamond"/>
          <w:sz w:val="24"/>
          <w:szCs w:val="24"/>
        </w:rPr>
        <w:t xml:space="preserve">from provincial to </w:t>
      </w:r>
      <w:r w:rsidR="007E7CEB">
        <w:rPr>
          <w:rFonts w:ascii="Garamond" w:hAnsi="Garamond" w:hint="eastAsia"/>
          <w:sz w:val="24"/>
          <w:szCs w:val="24"/>
        </w:rPr>
        <w:t>municipality</w:t>
      </w:r>
      <w:r w:rsidR="007E7CEB" w:rsidRPr="00EE7169">
        <w:rPr>
          <w:rFonts w:ascii="Garamond" w:hAnsi="Garamond"/>
          <w:sz w:val="24"/>
          <w:szCs w:val="24"/>
        </w:rPr>
        <w:t xml:space="preserve"> </w:t>
      </w:r>
      <w:r w:rsidRPr="00EE7169">
        <w:rPr>
          <w:rFonts w:ascii="Garamond" w:hAnsi="Garamond"/>
          <w:sz w:val="24"/>
          <w:szCs w:val="24"/>
        </w:rPr>
        <w:t xml:space="preserve">(alternatively called prefecture), </w:t>
      </w:r>
      <w:r w:rsidR="00610A3C">
        <w:rPr>
          <w:rFonts w:ascii="Garamond" w:hAnsi="Garamond"/>
          <w:sz w:val="24"/>
          <w:szCs w:val="24"/>
        </w:rPr>
        <w:t>or</w:t>
      </w:r>
      <w:r w:rsidRPr="00EE7169">
        <w:rPr>
          <w:rFonts w:ascii="Garamond" w:hAnsi="Garamond"/>
          <w:sz w:val="24"/>
          <w:szCs w:val="24"/>
        </w:rPr>
        <w:t xml:space="preserve"> from </w:t>
      </w:r>
      <w:r w:rsidR="007E7CEB">
        <w:rPr>
          <w:rFonts w:ascii="Garamond" w:hAnsi="Garamond" w:hint="eastAsia"/>
          <w:sz w:val="24"/>
          <w:szCs w:val="24"/>
        </w:rPr>
        <w:t>municipality</w:t>
      </w:r>
      <w:r w:rsidR="007E7CEB" w:rsidRPr="00EE7169">
        <w:rPr>
          <w:rFonts w:ascii="Garamond" w:hAnsi="Garamond"/>
          <w:sz w:val="24"/>
          <w:szCs w:val="24"/>
        </w:rPr>
        <w:t xml:space="preserve"> </w:t>
      </w:r>
      <w:r w:rsidRPr="00EE7169">
        <w:rPr>
          <w:rFonts w:ascii="Garamond" w:hAnsi="Garamond"/>
          <w:sz w:val="24"/>
          <w:szCs w:val="24"/>
        </w:rPr>
        <w:t>to county government.</w:t>
      </w:r>
      <w:r w:rsidRPr="00EE7169">
        <w:rPr>
          <w:rStyle w:val="FootnoteReference"/>
          <w:rFonts w:ascii="Garamond" w:hAnsi="Garamond"/>
          <w:sz w:val="24"/>
          <w:szCs w:val="24"/>
        </w:rPr>
        <w:footnoteReference w:id="3"/>
      </w:r>
      <w:r w:rsidRPr="00EE7169">
        <w:rPr>
          <w:rFonts w:ascii="Garamond" w:hAnsi="Garamond"/>
          <w:sz w:val="24"/>
          <w:szCs w:val="24"/>
        </w:rPr>
        <w:t xml:space="preserve"> The availability of local information is captured by the distance between an SOE and its oversight government. A </w:t>
      </w:r>
      <w:r w:rsidR="00002ED4">
        <w:rPr>
          <w:rFonts w:ascii="Garamond" w:hAnsi="Garamond" w:hint="eastAsia"/>
          <w:sz w:val="24"/>
          <w:szCs w:val="24"/>
        </w:rPr>
        <w:t>larger</w:t>
      </w:r>
      <w:r w:rsidR="00002ED4" w:rsidRPr="00EE7169">
        <w:rPr>
          <w:rFonts w:ascii="Garamond" w:hAnsi="Garamond"/>
          <w:sz w:val="24"/>
          <w:szCs w:val="24"/>
        </w:rPr>
        <w:t xml:space="preserve"> </w:t>
      </w:r>
      <w:r w:rsidRPr="00EE7169">
        <w:rPr>
          <w:rFonts w:ascii="Garamond" w:hAnsi="Garamond"/>
          <w:sz w:val="24"/>
          <w:szCs w:val="24"/>
        </w:rPr>
        <w:t xml:space="preserve">distance </w:t>
      </w:r>
      <w:r w:rsidR="007C10E0">
        <w:rPr>
          <w:rFonts w:ascii="Garamond" w:hAnsi="Garamond"/>
          <w:sz w:val="24"/>
          <w:szCs w:val="24"/>
        </w:rPr>
        <w:t>between</w:t>
      </w:r>
      <w:r w:rsidR="007C10E0" w:rsidRPr="00EE7169">
        <w:rPr>
          <w:rFonts w:ascii="Garamond" w:hAnsi="Garamond"/>
          <w:sz w:val="24"/>
          <w:szCs w:val="24"/>
        </w:rPr>
        <w:t xml:space="preserve"> </w:t>
      </w:r>
      <w:r w:rsidRPr="00EE7169">
        <w:rPr>
          <w:rFonts w:ascii="Garamond" w:hAnsi="Garamond"/>
          <w:sz w:val="24"/>
          <w:szCs w:val="24"/>
        </w:rPr>
        <w:t xml:space="preserve">the oversight government </w:t>
      </w:r>
      <w:r w:rsidR="007C10E0">
        <w:rPr>
          <w:rFonts w:ascii="Garamond" w:hAnsi="Garamond"/>
          <w:sz w:val="24"/>
          <w:szCs w:val="24"/>
        </w:rPr>
        <w:t>and</w:t>
      </w:r>
      <w:r w:rsidR="007C10E0" w:rsidRPr="00EE7169">
        <w:rPr>
          <w:rFonts w:ascii="Garamond" w:hAnsi="Garamond"/>
          <w:sz w:val="24"/>
          <w:szCs w:val="24"/>
        </w:rPr>
        <w:t xml:space="preserve"> </w:t>
      </w:r>
      <w:r w:rsidRPr="00EE7169">
        <w:rPr>
          <w:rFonts w:ascii="Garamond" w:hAnsi="Garamond"/>
          <w:sz w:val="24"/>
          <w:szCs w:val="24"/>
        </w:rPr>
        <w:t xml:space="preserve">the SOE implies that the oversight government can have less direct observations on firm performance, managerial competence, and firm competitiveness.  Indeed, there is a large literature providing evidence that distance has huge consequences for firms.  For instance, distance (in terms of trust level and physical distance) helps explain decentralization decision between multinational headquarters and oversea subsidiaries (Bloom, Sadun and Van Reenen, 2012); distance helps explain a headquarter’s investment allocation across plants in different locations (Giroud 2013); distance has been found to have profound implications for lending relationship between banks and firms (Peterson and Rajan 1994, 2002; Mian, 2006; Agarwal and Hauswalkd, 2010); and distance has been found to be a good proxy of information asymmetry </w:t>
      </w:r>
      <w:r w:rsidR="007C10E0">
        <w:rPr>
          <w:rFonts w:ascii="Garamond" w:hAnsi="Garamond"/>
          <w:sz w:val="24"/>
          <w:szCs w:val="24"/>
        </w:rPr>
        <w:t>in financial markets</w:t>
      </w:r>
      <w:r w:rsidRPr="00EE7169">
        <w:rPr>
          <w:rFonts w:ascii="Garamond" w:hAnsi="Garamond"/>
          <w:sz w:val="24"/>
          <w:szCs w:val="24"/>
        </w:rPr>
        <w:t xml:space="preserve"> (Coval and Moskowitz 1999; Garmaise and Moskowitz, 2004; </w:t>
      </w:r>
      <w:r w:rsidRPr="00EE7169">
        <w:rPr>
          <w:rFonts w:ascii="Garamond" w:hAnsi="Garamond"/>
          <w:sz w:val="24"/>
          <w:szCs w:val="24"/>
        </w:rPr>
        <w:lastRenderedPageBreak/>
        <w:t xml:space="preserve">Grinblatt and Keloharju 2001; Hau, 2001).   </w:t>
      </w:r>
    </w:p>
    <w:p w14:paraId="3ECB77B5" w14:textId="1857A04D"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ab/>
      </w:r>
      <w:r w:rsidR="00A278ED">
        <w:rPr>
          <w:rFonts w:ascii="Garamond" w:hAnsi="Garamond"/>
          <w:sz w:val="24"/>
          <w:szCs w:val="24"/>
        </w:rPr>
        <w:tab/>
      </w:r>
      <w:r w:rsidRPr="00EE7169">
        <w:rPr>
          <w:rFonts w:ascii="Garamond" w:hAnsi="Garamond"/>
          <w:sz w:val="24"/>
          <w:szCs w:val="24"/>
        </w:rPr>
        <w:t xml:space="preserve">Hayek (1945) implies that it would be more efficient for the oversight government with a </w:t>
      </w:r>
      <w:r w:rsidR="00610A3C">
        <w:rPr>
          <w:rFonts w:ascii="Garamond" w:hAnsi="Garamond"/>
          <w:sz w:val="24"/>
          <w:szCs w:val="24"/>
        </w:rPr>
        <w:t>larger</w:t>
      </w:r>
      <w:r w:rsidRPr="00EE7169">
        <w:rPr>
          <w:rFonts w:ascii="Garamond" w:hAnsi="Garamond"/>
          <w:sz w:val="24"/>
          <w:szCs w:val="24"/>
        </w:rPr>
        <w:t xml:space="preserve"> distance to the SOE to delegate (or decentralize) the control rights to a lower level of government, which in general has a shorter distance to the SOE. Moreover, when firms’ performance is harder to predict—and therefore local information </w:t>
      </w:r>
      <w:r w:rsidR="00610A3C">
        <w:rPr>
          <w:rFonts w:ascii="Garamond" w:hAnsi="Garamond"/>
          <w:sz w:val="24"/>
          <w:szCs w:val="24"/>
        </w:rPr>
        <w:t>figures more prominently</w:t>
      </w:r>
      <w:r w:rsidRPr="00EE7169">
        <w:rPr>
          <w:rFonts w:ascii="Garamond" w:hAnsi="Garamond"/>
          <w:sz w:val="24"/>
          <w:szCs w:val="24"/>
        </w:rPr>
        <w:t xml:space="preserve">—the same distance </w:t>
      </w:r>
      <w:r w:rsidR="00610A3C">
        <w:rPr>
          <w:rFonts w:ascii="Garamond" w:hAnsi="Garamond"/>
          <w:sz w:val="24"/>
          <w:szCs w:val="24"/>
        </w:rPr>
        <w:t>implies</w:t>
      </w:r>
      <w:r w:rsidRPr="00EE7169">
        <w:rPr>
          <w:rFonts w:ascii="Garamond" w:hAnsi="Garamond"/>
          <w:sz w:val="24"/>
          <w:szCs w:val="24"/>
        </w:rPr>
        <w:t xml:space="preserve"> a </w:t>
      </w:r>
      <w:r w:rsidR="00610A3C">
        <w:rPr>
          <w:rFonts w:ascii="Garamond" w:hAnsi="Garamond"/>
          <w:sz w:val="24"/>
          <w:szCs w:val="24"/>
        </w:rPr>
        <w:t>stronger</w:t>
      </w:r>
      <w:r w:rsidRPr="00EE7169">
        <w:rPr>
          <w:rFonts w:ascii="Garamond" w:hAnsi="Garamond"/>
          <w:sz w:val="24"/>
          <w:szCs w:val="24"/>
        </w:rPr>
        <w:t xml:space="preserve"> tendency to decentralize</w:t>
      </w:r>
      <w:r w:rsidR="007C10E0">
        <w:rPr>
          <w:rFonts w:ascii="Garamond" w:hAnsi="Garamond"/>
          <w:sz w:val="24"/>
          <w:szCs w:val="24"/>
        </w:rPr>
        <w:t xml:space="preserve"> so as</w:t>
      </w:r>
      <w:r w:rsidRPr="00EE7169">
        <w:rPr>
          <w:rFonts w:ascii="Garamond" w:hAnsi="Garamond"/>
          <w:sz w:val="24"/>
          <w:szCs w:val="24"/>
        </w:rPr>
        <w:t xml:space="preserve"> to better utilize local information. In addition, when communication costs are lower, the oversight government </w:t>
      </w:r>
      <w:r w:rsidR="00610A3C">
        <w:rPr>
          <w:rFonts w:ascii="Garamond" w:hAnsi="Garamond"/>
          <w:sz w:val="24"/>
          <w:szCs w:val="24"/>
        </w:rPr>
        <w:t>has</w:t>
      </w:r>
      <w:r w:rsidRPr="00EE7169">
        <w:rPr>
          <w:rFonts w:ascii="Garamond" w:hAnsi="Garamond"/>
          <w:sz w:val="24"/>
          <w:szCs w:val="24"/>
        </w:rPr>
        <w:t xml:space="preserve"> less </w:t>
      </w:r>
      <w:r w:rsidR="00610A3C">
        <w:rPr>
          <w:rFonts w:ascii="Garamond" w:hAnsi="Garamond"/>
          <w:sz w:val="24"/>
          <w:szCs w:val="24"/>
        </w:rPr>
        <w:t>difficulty</w:t>
      </w:r>
      <w:r w:rsidRPr="00EE7169">
        <w:rPr>
          <w:rFonts w:ascii="Garamond" w:hAnsi="Garamond"/>
          <w:sz w:val="24"/>
          <w:szCs w:val="24"/>
        </w:rPr>
        <w:t xml:space="preserve"> finding out what is going on in the SOE, and the same distance </w:t>
      </w:r>
      <w:r w:rsidR="008A6611">
        <w:rPr>
          <w:rFonts w:ascii="Garamond" w:hAnsi="Garamond"/>
          <w:sz w:val="24"/>
          <w:szCs w:val="24"/>
        </w:rPr>
        <w:t>then implies</w:t>
      </w:r>
      <w:r w:rsidRPr="00EE7169">
        <w:rPr>
          <w:rFonts w:ascii="Garamond" w:hAnsi="Garamond"/>
          <w:sz w:val="24"/>
          <w:szCs w:val="24"/>
        </w:rPr>
        <w:t xml:space="preserve"> a </w:t>
      </w:r>
      <w:r w:rsidR="008A6611">
        <w:rPr>
          <w:rFonts w:ascii="Garamond" w:hAnsi="Garamond"/>
          <w:sz w:val="24"/>
          <w:szCs w:val="24"/>
        </w:rPr>
        <w:t>weaker</w:t>
      </w:r>
      <w:r w:rsidRPr="00EE7169">
        <w:rPr>
          <w:rFonts w:ascii="Garamond" w:hAnsi="Garamond"/>
          <w:sz w:val="24"/>
          <w:szCs w:val="24"/>
        </w:rPr>
        <w:t xml:space="preserve"> tendency to decentralize. We should point out here that Hayek’s point does not imply that SOEs should always be decentralized so that the distance between the SOE and the oversight government should be minimal. Tilting the balance toward centralizing include other considerations, such as internalizing externality of the SOE, pursuing goals of upper levels of government, and making top-notch experts who can specialize in complex and difficult problems to be in charge of some sophisticated SOEs (Garicano 2000). </w:t>
      </w:r>
    </w:p>
    <w:p w14:paraId="02804DB3" w14:textId="5AB6BC0D" w:rsidR="00256700" w:rsidRDefault="00A278ED" w:rsidP="00AC314F">
      <w:pPr>
        <w:spacing w:after="120" w:line="480" w:lineRule="auto"/>
        <w:ind w:firstLine="420"/>
        <w:rPr>
          <w:rFonts w:ascii="Garamond" w:hAnsi="Garamond"/>
          <w:sz w:val="24"/>
          <w:szCs w:val="24"/>
        </w:rPr>
      </w:pPr>
      <w:r>
        <w:rPr>
          <w:rFonts w:ascii="Garamond" w:hAnsi="Garamond"/>
          <w:sz w:val="24"/>
          <w:szCs w:val="24"/>
        </w:rPr>
        <w:t xml:space="preserve"> </w:t>
      </w:r>
      <w:r>
        <w:rPr>
          <w:rFonts w:ascii="Garamond" w:hAnsi="Garamond"/>
          <w:sz w:val="24"/>
          <w:szCs w:val="24"/>
        </w:rPr>
        <w:tab/>
      </w:r>
      <w:r w:rsidR="00A2497E" w:rsidRPr="00EE7169">
        <w:rPr>
          <w:rFonts w:ascii="Garamond" w:hAnsi="Garamond"/>
          <w:sz w:val="24"/>
          <w:szCs w:val="24"/>
        </w:rPr>
        <w:t xml:space="preserve">We find support for </w:t>
      </w:r>
      <w:r w:rsidR="003903C3">
        <w:rPr>
          <w:rFonts w:ascii="Garamond" w:hAnsi="Garamond"/>
          <w:sz w:val="24"/>
          <w:szCs w:val="24"/>
        </w:rPr>
        <w:t>these</w:t>
      </w:r>
      <w:r w:rsidR="00A2497E" w:rsidRPr="00EE7169">
        <w:rPr>
          <w:rFonts w:ascii="Garamond" w:hAnsi="Garamond"/>
          <w:sz w:val="24"/>
          <w:szCs w:val="24"/>
        </w:rPr>
        <w:t xml:space="preserve"> conjectures implied by Hayek (1945). In particular, the </w:t>
      </w:r>
      <w:r w:rsidR="003903C3">
        <w:rPr>
          <w:rFonts w:ascii="Garamond" w:hAnsi="Garamond"/>
          <w:sz w:val="24"/>
          <w:szCs w:val="24"/>
        </w:rPr>
        <w:t>larger</w:t>
      </w:r>
      <w:r w:rsidR="00A2497E" w:rsidRPr="00EE7169">
        <w:rPr>
          <w:rFonts w:ascii="Garamond" w:hAnsi="Garamond"/>
          <w:sz w:val="24"/>
          <w:szCs w:val="24"/>
        </w:rPr>
        <w:t xml:space="preserve"> the distance between the oversight government and the SOE, the more likely the oversight government is to decentralize the SOE. </w:t>
      </w:r>
      <w:r w:rsidR="00256700">
        <w:rPr>
          <w:rFonts w:ascii="Garamond" w:hAnsi="Garamond"/>
          <w:sz w:val="24"/>
          <w:szCs w:val="24"/>
        </w:rPr>
        <w:t>Moreover, t</w:t>
      </w:r>
      <w:r w:rsidR="00A2497E" w:rsidRPr="00EE7169">
        <w:rPr>
          <w:rFonts w:ascii="Garamond" w:hAnsi="Garamond"/>
          <w:sz w:val="24"/>
          <w:szCs w:val="24"/>
        </w:rPr>
        <w:t xml:space="preserve">he positive decentralization-distance link is stronger when firm performance exhibits more uncertainty, and when communication costs are higher (as proxied by lower density of road). </w:t>
      </w:r>
    </w:p>
    <w:p w14:paraId="331E1534" w14:textId="2F592D65" w:rsidR="00A2497E" w:rsidRPr="00EE7169" w:rsidRDefault="00A2497E" w:rsidP="00AC314F">
      <w:pPr>
        <w:spacing w:after="120" w:line="480" w:lineRule="auto"/>
        <w:ind w:firstLine="418"/>
        <w:rPr>
          <w:rFonts w:ascii="Garamond" w:hAnsi="Garamond"/>
          <w:sz w:val="24"/>
          <w:szCs w:val="24"/>
        </w:rPr>
      </w:pPr>
      <w:r w:rsidRPr="00EE7169">
        <w:rPr>
          <w:rFonts w:ascii="Garamond" w:hAnsi="Garamond"/>
          <w:sz w:val="24"/>
          <w:szCs w:val="24"/>
        </w:rPr>
        <w:tab/>
      </w:r>
      <w:r w:rsidR="00A278ED">
        <w:rPr>
          <w:rFonts w:ascii="Garamond" w:hAnsi="Garamond"/>
          <w:sz w:val="24"/>
          <w:szCs w:val="24"/>
        </w:rPr>
        <w:tab/>
      </w:r>
      <w:r w:rsidR="00256700">
        <w:rPr>
          <w:rFonts w:ascii="Garamond" w:hAnsi="Garamond"/>
          <w:sz w:val="24"/>
          <w:szCs w:val="24"/>
        </w:rPr>
        <w:t>The</w:t>
      </w:r>
      <w:r w:rsidRPr="00EE7169">
        <w:rPr>
          <w:rFonts w:ascii="Garamond" w:hAnsi="Garamond"/>
          <w:sz w:val="24"/>
          <w:szCs w:val="24"/>
        </w:rPr>
        <w:t xml:space="preserve"> relationship between decentralization and distance may </w:t>
      </w:r>
      <w:r w:rsidR="00256700">
        <w:rPr>
          <w:rFonts w:ascii="Garamond" w:hAnsi="Garamond"/>
          <w:sz w:val="24"/>
          <w:szCs w:val="24"/>
        </w:rPr>
        <w:t>be subject to</w:t>
      </w:r>
      <w:r w:rsidRPr="00EE7169">
        <w:rPr>
          <w:rFonts w:ascii="Garamond" w:hAnsi="Garamond"/>
          <w:sz w:val="24"/>
          <w:szCs w:val="24"/>
        </w:rPr>
        <w:t xml:space="preserve"> other interpretations. To </w:t>
      </w:r>
      <w:r w:rsidR="004A59BB">
        <w:rPr>
          <w:rFonts w:ascii="Garamond" w:hAnsi="Garamond"/>
          <w:sz w:val="24"/>
          <w:szCs w:val="24"/>
        </w:rPr>
        <w:t xml:space="preserve">ensure </w:t>
      </w:r>
      <w:r w:rsidR="00256700">
        <w:rPr>
          <w:rFonts w:ascii="Garamond" w:hAnsi="Garamond"/>
          <w:sz w:val="24"/>
          <w:szCs w:val="24"/>
        </w:rPr>
        <w:t xml:space="preserve">that </w:t>
      </w:r>
      <w:r w:rsidR="004A59BB">
        <w:rPr>
          <w:rFonts w:ascii="Garamond" w:hAnsi="Garamond"/>
          <w:sz w:val="24"/>
          <w:szCs w:val="24"/>
        </w:rPr>
        <w:t>our interpretation is the right one</w:t>
      </w:r>
      <w:r w:rsidRPr="00EE7169">
        <w:rPr>
          <w:rFonts w:ascii="Garamond" w:hAnsi="Garamond"/>
          <w:sz w:val="24"/>
          <w:szCs w:val="24"/>
        </w:rPr>
        <w:t xml:space="preserve">, we conduct a number of checks. We mitigate omitted variable bias by including industry and year fixed effects, dummies indicating the same original oversight government, along with province-year-level macro controls (and in </w:t>
      </w:r>
      <w:r w:rsidR="00256700">
        <w:rPr>
          <w:rFonts w:ascii="Garamond" w:hAnsi="Garamond"/>
          <w:sz w:val="24"/>
          <w:szCs w:val="24"/>
        </w:rPr>
        <w:t xml:space="preserve">an </w:t>
      </w:r>
      <w:r w:rsidRPr="00EE7169">
        <w:rPr>
          <w:rFonts w:ascii="Garamond" w:hAnsi="Garamond"/>
          <w:sz w:val="24"/>
          <w:szCs w:val="24"/>
        </w:rPr>
        <w:t xml:space="preserve">alternative specification, fiscal conditions of the original oversight government and its lower level </w:t>
      </w:r>
      <w:r w:rsidRPr="00EE7169">
        <w:rPr>
          <w:rFonts w:ascii="Garamond" w:hAnsi="Garamond"/>
          <w:sz w:val="24"/>
          <w:szCs w:val="24"/>
        </w:rPr>
        <w:lastRenderedPageBreak/>
        <w:t xml:space="preserve">government).  To guard against the possibility that the distance to </w:t>
      </w:r>
      <w:r w:rsidR="00256700">
        <w:rPr>
          <w:rFonts w:ascii="Garamond" w:hAnsi="Garamond"/>
          <w:sz w:val="24"/>
          <w:szCs w:val="24"/>
        </w:rPr>
        <w:t xml:space="preserve">the </w:t>
      </w:r>
      <w:r w:rsidRPr="00EE7169">
        <w:rPr>
          <w:rFonts w:ascii="Garamond" w:hAnsi="Garamond"/>
          <w:sz w:val="24"/>
          <w:szCs w:val="24"/>
        </w:rPr>
        <w:t xml:space="preserve">oversight governments may be </w:t>
      </w:r>
      <w:r w:rsidR="00256700">
        <w:rPr>
          <w:rFonts w:ascii="Garamond" w:hAnsi="Garamond"/>
          <w:sz w:val="24"/>
          <w:szCs w:val="24"/>
        </w:rPr>
        <w:t>simply a proxy</w:t>
      </w:r>
      <w:r w:rsidRPr="00EE7169">
        <w:rPr>
          <w:rFonts w:ascii="Garamond" w:hAnsi="Garamond"/>
          <w:sz w:val="24"/>
          <w:szCs w:val="24"/>
        </w:rPr>
        <w:t xml:space="preserve"> for the distance to agglomeration centers, we construct a placebo distance to an alternative agglomeration city (at the same level as the oversight government), and this placebo distance measure is not significantly related to decentralization. Finally, we rely on exogenous source of variation of distance to identify its effect on decentralization. In particular, in the 1960s and 1970s, a large number of SOEs were relocated to inland provinces to confront the possibility of external wars with the Soviet Union and the U.S. As a result, their distance to their oversight governments was determined historically and likely </w:t>
      </w:r>
      <w:r w:rsidR="00256700">
        <w:rPr>
          <w:rFonts w:ascii="Garamond" w:hAnsi="Garamond"/>
          <w:sz w:val="24"/>
          <w:szCs w:val="24"/>
        </w:rPr>
        <w:t>had</w:t>
      </w:r>
      <w:r w:rsidRPr="00EE7169">
        <w:rPr>
          <w:rFonts w:ascii="Garamond" w:hAnsi="Garamond"/>
          <w:sz w:val="24"/>
          <w:szCs w:val="24"/>
        </w:rPr>
        <w:t xml:space="preserve"> nothing to do with </w:t>
      </w:r>
      <w:r w:rsidR="00256700">
        <w:rPr>
          <w:rFonts w:ascii="Garamond" w:hAnsi="Garamond"/>
          <w:sz w:val="24"/>
          <w:szCs w:val="24"/>
        </w:rPr>
        <w:t>the</w:t>
      </w:r>
      <w:r w:rsidRPr="00EE7169">
        <w:rPr>
          <w:rFonts w:ascii="Garamond" w:hAnsi="Garamond"/>
          <w:sz w:val="24"/>
          <w:szCs w:val="24"/>
        </w:rPr>
        <w:t xml:space="preserve"> decentralization decisions</w:t>
      </w:r>
      <w:r w:rsidR="00256700">
        <w:rPr>
          <w:rFonts w:ascii="Garamond" w:hAnsi="Garamond"/>
          <w:sz w:val="24"/>
          <w:szCs w:val="24"/>
        </w:rPr>
        <w:t xml:space="preserve"> decades later</w:t>
      </w:r>
      <w:r w:rsidRPr="00EE7169">
        <w:rPr>
          <w:rFonts w:ascii="Garamond" w:hAnsi="Garamond"/>
          <w:sz w:val="24"/>
          <w:szCs w:val="24"/>
        </w:rPr>
        <w:t>. The instrumental variable results are qualitatively similar to our base specification.</w:t>
      </w:r>
    </w:p>
    <w:p w14:paraId="24204CC6" w14:textId="1ADBB0FD" w:rsidR="00A2497E" w:rsidRPr="00EE7169" w:rsidRDefault="00A278ED" w:rsidP="00AC314F">
      <w:pPr>
        <w:spacing w:after="120" w:line="480" w:lineRule="auto"/>
        <w:ind w:firstLine="418"/>
        <w:rPr>
          <w:rFonts w:ascii="Garamond" w:hAnsi="Garamond"/>
          <w:sz w:val="24"/>
          <w:szCs w:val="24"/>
        </w:rPr>
      </w:pPr>
      <w:r>
        <w:rPr>
          <w:rFonts w:ascii="Garamond" w:hAnsi="Garamond"/>
          <w:sz w:val="24"/>
          <w:szCs w:val="24"/>
        </w:rPr>
        <w:t xml:space="preserve"> </w:t>
      </w:r>
      <w:r>
        <w:rPr>
          <w:rFonts w:ascii="Garamond" w:hAnsi="Garamond"/>
          <w:sz w:val="24"/>
          <w:szCs w:val="24"/>
        </w:rPr>
        <w:tab/>
      </w:r>
      <w:r w:rsidR="00256700">
        <w:rPr>
          <w:rFonts w:ascii="Garamond" w:hAnsi="Garamond"/>
          <w:sz w:val="24"/>
          <w:szCs w:val="24"/>
        </w:rPr>
        <w:t>To</w:t>
      </w:r>
      <w:r w:rsidR="00256700" w:rsidRPr="00EE7169">
        <w:rPr>
          <w:rFonts w:ascii="Garamond" w:hAnsi="Garamond"/>
          <w:sz w:val="24"/>
          <w:szCs w:val="24"/>
        </w:rPr>
        <w:t xml:space="preserve"> the best of our knowledge</w:t>
      </w:r>
      <w:r w:rsidR="00256700">
        <w:rPr>
          <w:rFonts w:ascii="Garamond" w:hAnsi="Garamond"/>
          <w:sz w:val="24"/>
          <w:szCs w:val="24"/>
        </w:rPr>
        <w:t>,</w:t>
      </w:r>
      <w:r w:rsidR="00256700" w:rsidRPr="00EE7169">
        <w:rPr>
          <w:rFonts w:ascii="Garamond" w:hAnsi="Garamond"/>
          <w:sz w:val="24"/>
          <w:szCs w:val="24"/>
        </w:rPr>
        <w:t xml:space="preserve"> </w:t>
      </w:r>
      <w:r w:rsidR="00256700">
        <w:rPr>
          <w:rFonts w:ascii="Garamond" w:hAnsi="Garamond"/>
          <w:sz w:val="24"/>
          <w:szCs w:val="24"/>
        </w:rPr>
        <w:t>t</w:t>
      </w:r>
      <w:r w:rsidR="00A2497E" w:rsidRPr="00EE7169">
        <w:rPr>
          <w:rFonts w:ascii="Garamond" w:hAnsi="Garamond"/>
          <w:sz w:val="24"/>
          <w:szCs w:val="24"/>
        </w:rPr>
        <w:t>his paper is the first paper</w:t>
      </w:r>
      <w:r w:rsidR="00256700">
        <w:rPr>
          <w:rFonts w:ascii="Garamond" w:hAnsi="Garamond"/>
          <w:sz w:val="24"/>
          <w:szCs w:val="24"/>
        </w:rPr>
        <w:t xml:space="preserve"> </w:t>
      </w:r>
      <w:r w:rsidR="00A2497E" w:rsidRPr="00EE7169">
        <w:rPr>
          <w:rFonts w:ascii="Garamond" w:hAnsi="Garamond"/>
          <w:sz w:val="24"/>
          <w:szCs w:val="24"/>
        </w:rPr>
        <w:t>that test</w:t>
      </w:r>
      <w:r w:rsidR="00256700">
        <w:rPr>
          <w:rFonts w:ascii="Garamond" w:hAnsi="Garamond"/>
          <w:sz w:val="24"/>
          <w:szCs w:val="24"/>
        </w:rPr>
        <w:t>s</w:t>
      </w:r>
      <w:r w:rsidR="00A2497E" w:rsidRPr="00EE7169">
        <w:rPr>
          <w:rFonts w:ascii="Garamond" w:hAnsi="Garamond"/>
          <w:sz w:val="24"/>
          <w:szCs w:val="24"/>
        </w:rPr>
        <w:t xml:space="preserve"> Hayek’s idea of the </w:t>
      </w:r>
      <w:r w:rsidR="00256700">
        <w:rPr>
          <w:rFonts w:ascii="Garamond" w:hAnsi="Garamond"/>
          <w:sz w:val="24"/>
          <w:szCs w:val="24"/>
        </w:rPr>
        <w:t>fundame</w:t>
      </w:r>
      <w:r w:rsidR="007D44C9">
        <w:rPr>
          <w:rFonts w:ascii="Garamond" w:hAnsi="Garamond"/>
          <w:sz w:val="24"/>
          <w:szCs w:val="24"/>
        </w:rPr>
        <w:t>n</w:t>
      </w:r>
      <w:r w:rsidR="00256700">
        <w:rPr>
          <w:rFonts w:ascii="Garamond" w:hAnsi="Garamond"/>
          <w:sz w:val="24"/>
          <w:szCs w:val="24"/>
        </w:rPr>
        <w:t>tal</w:t>
      </w:r>
      <w:r w:rsidR="00A2497E" w:rsidRPr="00EE7169">
        <w:rPr>
          <w:rFonts w:ascii="Garamond" w:hAnsi="Garamond"/>
          <w:sz w:val="24"/>
          <w:szCs w:val="24"/>
        </w:rPr>
        <w:t xml:space="preserve"> importance of local information for understanding the working of economic system, in particular, the centralization or decentralization of state-owned enterprises. We test rich implications of Hayek’s idea such as how decentralization depends on the distance to the oversight distance government, and how this link depends on firm heterogeneity and communication costs. </w:t>
      </w:r>
    </w:p>
    <w:p w14:paraId="062E1C74" w14:textId="5902D8A4"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Our paper is most closely related to the empirical literature examining decentralization within firms. In particular, Aghion et al. (2007) provide evidence that the availability of public information to the headquarters reduces the need to delegate controls to the manager. Bloom et al. (2009) provide evidence that information technology and communication technology have different implications for within-firm decentralization, with the former facilitating, while the latter hindering, decentralization. Bloom, Sadun and Van Reenen (2010, 2012) find th</w:t>
      </w:r>
      <w:r w:rsidR="00256700">
        <w:rPr>
          <w:rFonts w:ascii="Garamond" w:hAnsi="Garamond"/>
          <w:sz w:val="24"/>
          <w:szCs w:val="24"/>
        </w:rPr>
        <w:t>at competition and trust foster</w:t>
      </w:r>
      <w:r w:rsidRPr="00EE7169">
        <w:rPr>
          <w:rFonts w:ascii="Garamond" w:hAnsi="Garamond"/>
          <w:sz w:val="24"/>
          <w:szCs w:val="24"/>
        </w:rPr>
        <w:t xml:space="preserve"> greater decentralization. Giroud (2013), perhaps the only paper that examines how the within-firm distance between headquarters and their plants affect plant performance, find that proximity of the headquarter to a plant significantly increases the plant’s investment and productivity. We differ from these papers in two ways. </w:t>
      </w:r>
      <w:r w:rsidRPr="005B11BD">
        <w:rPr>
          <w:rFonts w:ascii="Garamond" w:hAnsi="Garamond"/>
          <w:i/>
          <w:sz w:val="24"/>
          <w:szCs w:val="24"/>
        </w:rPr>
        <w:t>First</w:t>
      </w:r>
      <w:r w:rsidRPr="00EE7169">
        <w:rPr>
          <w:rFonts w:ascii="Garamond" w:hAnsi="Garamond"/>
          <w:sz w:val="24"/>
          <w:szCs w:val="24"/>
        </w:rPr>
        <w:t xml:space="preserve">, we focus on the role of distance between the oversight government </w:t>
      </w:r>
      <w:r w:rsidRPr="00EE7169">
        <w:rPr>
          <w:rFonts w:ascii="Garamond" w:hAnsi="Garamond"/>
          <w:sz w:val="24"/>
          <w:szCs w:val="24"/>
        </w:rPr>
        <w:lastRenderedPageBreak/>
        <w:t xml:space="preserve">and an SOE in the state sector for the decentralization decision of SOEs, and therefore directly addressing the original concern of Hayek in understanding the role of local information in determining efficiency of centralization versus decentralization. </w:t>
      </w:r>
      <w:r w:rsidRPr="005B11BD">
        <w:rPr>
          <w:rFonts w:ascii="Garamond" w:hAnsi="Garamond"/>
          <w:i/>
          <w:sz w:val="24"/>
          <w:szCs w:val="24"/>
        </w:rPr>
        <w:t>Second</w:t>
      </w:r>
      <w:r w:rsidRPr="00EE7169">
        <w:rPr>
          <w:rFonts w:ascii="Garamond" w:hAnsi="Garamond"/>
          <w:sz w:val="24"/>
          <w:szCs w:val="24"/>
        </w:rPr>
        <w:t xml:space="preserve">, the nature of our dataset allows us to explore </w:t>
      </w:r>
      <w:r w:rsidRPr="00EE7169">
        <w:rPr>
          <w:rFonts w:ascii="Garamond" w:hAnsi="Garamond"/>
          <w:i/>
          <w:sz w:val="24"/>
          <w:szCs w:val="24"/>
        </w:rPr>
        <w:t>changes</w:t>
      </w:r>
      <w:r w:rsidRPr="00EE7169">
        <w:rPr>
          <w:rFonts w:ascii="Garamond" w:hAnsi="Garamond"/>
          <w:sz w:val="24"/>
          <w:szCs w:val="24"/>
        </w:rPr>
        <w:t xml:space="preserve"> in organizational structure, thus we study decentralization in a dynamic setting. Our findings thus are complementary to the literature on decentralization within an organization—here we view the whole state economy of China as a gigantic organization with the state as the ultimate owner—that emphasizes the role of information in determining the control rights structure. We offer empirical support for the insight of the critical importance of local information in shaping the organization structure in the largest “organization” (i.e., the state economy of China) in the largest country.   </w:t>
      </w:r>
    </w:p>
    <w:p w14:paraId="32063D6C" w14:textId="5D3E01D0"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The paper is also related to a theoretical literature that sheds light on benefits of decentralization. Bolton and Dewatripont (1994) suggest that decentralization has the benefits of allowing the agent to specialize in some information processing and therefore reducing information acquisition costs, freeing the principal from information-processing</w:t>
      </w:r>
      <w:r w:rsidR="005B11BD">
        <w:rPr>
          <w:rFonts w:ascii="Garamond" w:hAnsi="Garamond"/>
          <w:sz w:val="24"/>
          <w:szCs w:val="24"/>
        </w:rPr>
        <w:t xml:space="preserve"> </w:t>
      </w:r>
      <w:r w:rsidR="005B11BD" w:rsidRPr="00EE7169">
        <w:rPr>
          <w:rFonts w:ascii="Garamond" w:hAnsi="Garamond"/>
          <w:sz w:val="24"/>
          <w:szCs w:val="24"/>
        </w:rPr>
        <w:t>time constraint</w:t>
      </w:r>
      <w:r w:rsidRPr="00EE7169">
        <w:rPr>
          <w:rFonts w:ascii="Garamond" w:hAnsi="Garamond"/>
          <w:sz w:val="24"/>
          <w:szCs w:val="24"/>
        </w:rPr>
        <w:t xml:space="preserve">. Aghion and Tirole (1997) suggest that when information advantage of agents is severe, and conflicts of interest </w:t>
      </w:r>
      <w:r w:rsidR="005B11BD">
        <w:rPr>
          <w:rFonts w:ascii="Garamond" w:hAnsi="Garamond"/>
          <w:sz w:val="24"/>
          <w:szCs w:val="24"/>
        </w:rPr>
        <w:t xml:space="preserve">is </w:t>
      </w:r>
      <w:r w:rsidRPr="00EE7169">
        <w:rPr>
          <w:rFonts w:ascii="Garamond" w:hAnsi="Garamond"/>
          <w:sz w:val="24"/>
          <w:szCs w:val="24"/>
        </w:rPr>
        <w:t xml:space="preserve">not large, it </w:t>
      </w:r>
      <w:r w:rsidR="005B11BD">
        <w:rPr>
          <w:rFonts w:ascii="Garamond" w:hAnsi="Garamond"/>
          <w:sz w:val="24"/>
          <w:szCs w:val="24"/>
        </w:rPr>
        <w:t>is efficient</w:t>
      </w:r>
      <w:r w:rsidRPr="00EE7169">
        <w:rPr>
          <w:rFonts w:ascii="Garamond" w:hAnsi="Garamond"/>
          <w:sz w:val="24"/>
          <w:szCs w:val="24"/>
        </w:rPr>
        <w:t xml:space="preserve"> to formally delegate. Garicano (2000) suggests that in a hierarchy it makes sense to create a hierarchy of knowledge production, with bosses of higher layers of hierarchy focusing on more complex and difficult problems and employees of lower levels specializing in more basic and easier problems. Dessein (2002) suggest</w:t>
      </w:r>
      <w:r w:rsidR="005B11BD">
        <w:rPr>
          <w:rFonts w:ascii="Garamond" w:hAnsi="Garamond"/>
          <w:sz w:val="24"/>
          <w:szCs w:val="24"/>
        </w:rPr>
        <w:t>s</w:t>
      </w:r>
      <w:r w:rsidRPr="00EE7169">
        <w:rPr>
          <w:rFonts w:ascii="Garamond" w:hAnsi="Garamond"/>
          <w:sz w:val="24"/>
          <w:szCs w:val="24"/>
        </w:rPr>
        <w:t xml:space="preserve"> that when agents report information to their superiors strategically, it is often desirable for uninformed principal to delegate the formal authority to the agent. Alonso, Dessein and Matouschek (2008) suggest that when local information is important and division managers communicate strategically, a higher need for coordination improves horizontal communication but worsens vertical communication, and decentralization can dominate centralization even when coordination is extremely important relative to adaptation. These theoretical papers </w:t>
      </w:r>
      <w:r w:rsidRPr="00EE7169">
        <w:rPr>
          <w:rFonts w:ascii="Garamond" w:hAnsi="Garamond"/>
          <w:sz w:val="24"/>
          <w:szCs w:val="24"/>
        </w:rPr>
        <w:lastRenderedPageBreak/>
        <w:t xml:space="preserve">provide further insights about why sometimes it makes sense to decentralize. These papers </w:t>
      </w:r>
      <w:r w:rsidR="005B11BD">
        <w:rPr>
          <w:rFonts w:ascii="Garamond" w:hAnsi="Garamond"/>
          <w:sz w:val="24"/>
          <w:szCs w:val="24"/>
        </w:rPr>
        <w:t>greatly enrich the insights</w:t>
      </w:r>
      <w:r w:rsidRPr="00EE7169">
        <w:rPr>
          <w:rFonts w:ascii="Garamond" w:hAnsi="Garamond"/>
          <w:sz w:val="24"/>
          <w:szCs w:val="24"/>
        </w:rPr>
        <w:t xml:space="preserve"> of Hayek (1945), highlighting factors that Hayek considered such as agent information advantage (Aghion and Tirole 1997), or not considered such as specialization in information acquisition (Bolton and Dewatripont 1994), hierarchy of knowledge production (Garicano 2000), and strategic reporting by agents (Dessein 2002; Alonso, Dessein and Matouschek 2008). Our evidence is consistent with some of the implications of these models, but our data do not allow us to test the more subtle implications of these </w:t>
      </w:r>
      <w:r w:rsidR="005B11BD">
        <w:rPr>
          <w:rFonts w:ascii="Garamond" w:hAnsi="Garamond"/>
          <w:sz w:val="24"/>
          <w:szCs w:val="24"/>
        </w:rPr>
        <w:t xml:space="preserve">new </w:t>
      </w:r>
      <w:r w:rsidRPr="00EE7169">
        <w:rPr>
          <w:rFonts w:ascii="Garamond" w:hAnsi="Garamond"/>
          <w:sz w:val="24"/>
          <w:szCs w:val="24"/>
        </w:rPr>
        <w:t xml:space="preserve">models. The key implications of Hayek (1945), however, are directly testable and receive a strong support. </w:t>
      </w:r>
    </w:p>
    <w:p w14:paraId="346F2350" w14:textId="7618CC9F"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In the rest of the paper, Section 2 provides related institutional background and offers a simple conceptual framework to understand the causes of decentralizing SOEs in China. Section 3 provides empirical results on determinants of decentralization. </w:t>
      </w:r>
      <w:r w:rsidR="005B11BD">
        <w:rPr>
          <w:rFonts w:ascii="Garamond" w:hAnsi="Garamond"/>
          <w:sz w:val="24"/>
          <w:szCs w:val="24"/>
        </w:rPr>
        <w:t>Section 4</w:t>
      </w:r>
      <w:r w:rsidRPr="00EE7169">
        <w:rPr>
          <w:rFonts w:ascii="Garamond" w:hAnsi="Garamond"/>
          <w:sz w:val="24"/>
          <w:szCs w:val="24"/>
        </w:rPr>
        <w:t xml:space="preserve"> concludes.</w:t>
      </w:r>
    </w:p>
    <w:p w14:paraId="26AA8E0E" w14:textId="77777777" w:rsidR="00A2497E" w:rsidRPr="00EE7169" w:rsidRDefault="00A2497E" w:rsidP="00AC314F">
      <w:pPr>
        <w:spacing w:after="120" w:line="480" w:lineRule="auto"/>
        <w:rPr>
          <w:rFonts w:ascii="Garamond" w:hAnsi="Garamond"/>
          <w:b/>
          <w:sz w:val="24"/>
          <w:szCs w:val="24"/>
          <w:u w:val="single"/>
        </w:rPr>
      </w:pPr>
    </w:p>
    <w:p w14:paraId="78186854" w14:textId="77777777" w:rsidR="00A2497E" w:rsidRPr="00EE7169" w:rsidRDefault="00A2497E" w:rsidP="00AC314F">
      <w:pPr>
        <w:pStyle w:val="ListParagraph"/>
        <w:numPr>
          <w:ilvl w:val="0"/>
          <w:numId w:val="12"/>
        </w:numPr>
        <w:spacing w:after="120" w:line="480" w:lineRule="auto"/>
        <w:ind w:firstLineChars="0"/>
        <w:rPr>
          <w:rFonts w:ascii="Garamond" w:hAnsi="Garamond"/>
          <w:b/>
          <w:sz w:val="24"/>
          <w:szCs w:val="24"/>
        </w:rPr>
      </w:pPr>
      <w:r w:rsidRPr="00EE7169">
        <w:rPr>
          <w:rFonts w:ascii="Garamond" w:hAnsi="Garamond"/>
          <w:b/>
          <w:sz w:val="24"/>
          <w:szCs w:val="24"/>
        </w:rPr>
        <w:t xml:space="preserve">   Conceptual Framework</w:t>
      </w:r>
    </w:p>
    <w:p w14:paraId="5B675606" w14:textId="30683AF0"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The state sector of the Chinese economy operates like a huge corporation with multiple layers of hierarchy. At the top of the hierarchy are the giant central SOEs, controlled directly by the central government. Below lies a more decentralized local system with each province similar to the self-contained division of a large corporation, with independent accounting and independent performance measures and incentives. Within each province, provincial SOEs accounts for a large share. At the </w:t>
      </w:r>
      <w:r w:rsidR="00A278ED">
        <w:rPr>
          <w:rFonts w:ascii="Garamond" w:hAnsi="Garamond"/>
          <w:sz w:val="24"/>
          <w:szCs w:val="24"/>
        </w:rPr>
        <w:t>lower rungs</w:t>
      </w:r>
      <w:r w:rsidRPr="00EE7169">
        <w:rPr>
          <w:rFonts w:ascii="Garamond" w:hAnsi="Garamond"/>
          <w:sz w:val="24"/>
          <w:szCs w:val="24"/>
        </w:rPr>
        <w:t xml:space="preserve"> of this complicated </w:t>
      </w:r>
      <w:r w:rsidR="00A278ED">
        <w:rPr>
          <w:rFonts w:ascii="Garamond" w:hAnsi="Garamond"/>
          <w:sz w:val="24"/>
          <w:szCs w:val="24"/>
        </w:rPr>
        <w:t>ladder</w:t>
      </w:r>
      <w:r w:rsidRPr="00EE7169">
        <w:rPr>
          <w:rFonts w:ascii="Garamond" w:hAnsi="Garamond"/>
          <w:sz w:val="24"/>
          <w:szCs w:val="24"/>
        </w:rPr>
        <w:t xml:space="preserve"> are smaller SOEs controlled by municipal and county governments. The hierarchy of Chinese government consists of, from top to bottom of the ladder, the central, provincial, municipal, and county governments.</w:t>
      </w:r>
      <w:r w:rsidR="0018384A" w:rsidRPr="00EE7169" w:rsidDel="0018384A">
        <w:rPr>
          <w:rStyle w:val="FootnoteReference"/>
          <w:rFonts w:ascii="Garamond" w:hAnsi="Garamond"/>
          <w:sz w:val="24"/>
          <w:szCs w:val="24"/>
        </w:rPr>
        <w:t xml:space="preserve"> </w:t>
      </w:r>
    </w:p>
    <w:p w14:paraId="265C1998" w14:textId="4D742AE3" w:rsidR="00A2497E" w:rsidRPr="00EE7169" w:rsidRDefault="00A2497E" w:rsidP="00AF15CE">
      <w:pPr>
        <w:spacing w:after="120" w:line="480" w:lineRule="auto"/>
        <w:ind w:firstLine="720"/>
        <w:rPr>
          <w:rFonts w:ascii="Garamond" w:hAnsi="Garamond"/>
          <w:sz w:val="24"/>
          <w:szCs w:val="24"/>
        </w:rPr>
      </w:pPr>
      <w:r w:rsidRPr="00EE7169">
        <w:rPr>
          <w:rFonts w:ascii="Garamond" w:hAnsi="Garamond"/>
          <w:sz w:val="24"/>
          <w:szCs w:val="24"/>
        </w:rPr>
        <w:tab/>
      </w:r>
      <w:r w:rsidR="00A278ED">
        <w:rPr>
          <w:rFonts w:ascii="Garamond" w:hAnsi="Garamond"/>
          <w:sz w:val="24"/>
          <w:szCs w:val="24"/>
        </w:rPr>
        <w:tab/>
        <w:t xml:space="preserve">The </w:t>
      </w:r>
      <w:r w:rsidR="00A278ED" w:rsidRPr="00EE7169">
        <w:rPr>
          <w:rFonts w:ascii="Garamond" w:hAnsi="Garamond"/>
          <w:sz w:val="24"/>
          <w:szCs w:val="24"/>
        </w:rPr>
        <w:t xml:space="preserve">enterprise reforms </w:t>
      </w:r>
      <w:r w:rsidR="00A278ED">
        <w:rPr>
          <w:rFonts w:ascii="Garamond" w:hAnsi="Garamond"/>
          <w:sz w:val="24"/>
          <w:szCs w:val="24"/>
        </w:rPr>
        <w:t>i</w:t>
      </w:r>
      <w:r w:rsidRPr="00EE7169">
        <w:rPr>
          <w:rFonts w:ascii="Garamond" w:hAnsi="Garamond"/>
          <w:sz w:val="24"/>
          <w:szCs w:val="24"/>
        </w:rPr>
        <w:t xml:space="preserve">n the 1980s and 1990s </w:t>
      </w:r>
      <w:r w:rsidR="00A278ED">
        <w:rPr>
          <w:rFonts w:ascii="Garamond" w:hAnsi="Garamond"/>
          <w:sz w:val="24"/>
          <w:szCs w:val="24"/>
        </w:rPr>
        <w:t xml:space="preserve">in </w:t>
      </w:r>
      <w:r w:rsidRPr="00EE7169">
        <w:rPr>
          <w:rFonts w:ascii="Garamond" w:hAnsi="Garamond"/>
          <w:sz w:val="24"/>
          <w:szCs w:val="24"/>
        </w:rPr>
        <w:t xml:space="preserve">China </w:t>
      </w:r>
      <w:r w:rsidR="00A278ED">
        <w:rPr>
          <w:rFonts w:ascii="Garamond" w:hAnsi="Garamond"/>
          <w:sz w:val="24"/>
          <w:szCs w:val="24"/>
        </w:rPr>
        <w:t>aimed to</w:t>
      </w:r>
      <w:r w:rsidRPr="00EE7169">
        <w:rPr>
          <w:rFonts w:ascii="Garamond" w:hAnsi="Garamond"/>
          <w:sz w:val="24"/>
          <w:szCs w:val="24"/>
        </w:rPr>
        <w:t xml:space="preserve"> decentralize the oversight of SOEs</w:t>
      </w:r>
      <w:r w:rsidR="00A278ED">
        <w:rPr>
          <w:rFonts w:ascii="Garamond" w:hAnsi="Garamond"/>
          <w:sz w:val="24"/>
          <w:szCs w:val="24"/>
        </w:rPr>
        <w:t xml:space="preserve"> and</w:t>
      </w:r>
      <w:r w:rsidRPr="00EE7169">
        <w:rPr>
          <w:rFonts w:ascii="Garamond" w:hAnsi="Garamond"/>
          <w:sz w:val="24"/>
          <w:szCs w:val="24"/>
        </w:rPr>
        <w:t xml:space="preserve"> to grant SOEs more autonomy in production, investment and financing (Xu </w:t>
      </w:r>
      <w:r w:rsidRPr="00EE7169">
        <w:rPr>
          <w:rFonts w:ascii="Garamond" w:hAnsi="Garamond"/>
          <w:sz w:val="24"/>
          <w:szCs w:val="24"/>
        </w:rPr>
        <w:lastRenderedPageBreak/>
        <w:t>2000; Li, 1997). Some industries were decentralized earlier than others, such as machinery, which started decentralization as early as 1985. According to the Annual Survey of Industrial Firms (ASIF) data</w:t>
      </w:r>
      <w:r w:rsidR="0018384A">
        <w:rPr>
          <w:rFonts w:ascii="Garamond" w:hAnsi="Garamond"/>
          <w:sz w:val="24"/>
          <w:szCs w:val="24"/>
        </w:rPr>
        <w:t xml:space="preserve">, on </w:t>
      </w:r>
      <w:r w:rsidR="00AF2FCB">
        <w:rPr>
          <w:rFonts w:ascii="Garamond" w:hAnsi="Garamond"/>
          <w:sz w:val="24"/>
          <w:szCs w:val="24"/>
        </w:rPr>
        <w:t>which</w:t>
      </w:r>
      <w:r w:rsidRPr="00EE7169">
        <w:rPr>
          <w:rFonts w:ascii="Garamond" w:hAnsi="Garamond"/>
          <w:sz w:val="24"/>
          <w:szCs w:val="24"/>
        </w:rPr>
        <w:t xml:space="preserve"> we shall rely in this paper</w:t>
      </w:r>
      <w:r w:rsidR="0018384A">
        <w:rPr>
          <w:rFonts w:ascii="Garamond" w:hAnsi="Garamond"/>
          <w:sz w:val="24"/>
          <w:szCs w:val="24"/>
        </w:rPr>
        <w:t xml:space="preserve">, </w:t>
      </w:r>
      <w:r w:rsidRPr="00EE7169">
        <w:rPr>
          <w:rFonts w:ascii="Garamond" w:hAnsi="Garamond"/>
          <w:sz w:val="24"/>
          <w:szCs w:val="24"/>
        </w:rPr>
        <w:t xml:space="preserve">the share of industrial output accounted for by county SOEs increased from 12.3% in 1985 to 25.8% in 1995. </w:t>
      </w:r>
    </w:p>
    <w:p w14:paraId="364EA7E6" w14:textId="717C275A"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ab/>
      </w:r>
      <w:r w:rsidR="00A278ED">
        <w:rPr>
          <w:rFonts w:ascii="Garamond" w:hAnsi="Garamond"/>
          <w:sz w:val="24"/>
          <w:szCs w:val="24"/>
        </w:rPr>
        <w:tab/>
        <w:t>A</w:t>
      </w:r>
      <w:r w:rsidR="00A278ED" w:rsidRPr="00EE7169">
        <w:rPr>
          <w:rFonts w:ascii="Garamond" w:hAnsi="Garamond"/>
          <w:sz w:val="24"/>
          <w:szCs w:val="24"/>
        </w:rPr>
        <w:t xml:space="preserve"> large wave of SOE restructuring </w:t>
      </w:r>
      <w:r w:rsidRPr="00EE7169">
        <w:rPr>
          <w:rFonts w:ascii="Garamond" w:hAnsi="Garamond"/>
          <w:sz w:val="24"/>
          <w:szCs w:val="24"/>
        </w:rPr>
        <w:t>began from 1997</w:t>
      </w:r>
      <w:r w:rsidR="004B1FE7" w:rsidRPr="00EE7169">
        <w:rPr>
          <w:rFonts w:ascii="Garamond" w:hAnsi="Garamond"/>
          <w:sz w:val="24"/>
          <w:szCs w:val="24"/>
        </w:rPr>
        <w:t xml:space="preserve"> (Xu, Zhu and Lin 2005)</w:t>
      </w:r>
      <w:r w:rsidRPr="00EE7169">
        <w:rPr>
          <w:rFonts w:ascii="Garamond" w:hAnsi="Garamond"/>
          <w:sz w:val="24"/>
          <w:szCs w:val="24"/>
        </w:rPr>
        <w:t xml:space="preserve">. In 1998, the State Council decreed to decentralize all 94 central SOEs (and their subsidiaries) in the coal industry.  As a result, 3.2 million workers and 1.3 million retirees were under the oversight of provincial governments (Nie and Jiang 2011). Similarly, </w:t>
      </w:r>
      <w:r w:rsidR="0018384A">
        <w:rPr>
          <w:rFonts w:ascii="Garamond" w:hAnsi="Garamond"/>
          <w:sz w:val="24"/>
          <w:szCs w:val="24"/>
        </w:rPr>
        <w:t>the decentralization of</w:t>
      </w:r>
      <w:r w:rsidR="00AF2FCB" w:rsidRPr="00EE7169">
        <w:rPr>
          <w:rFonts w:ascii="Garamond" w:hAnsi="Garamond"/>
          <w:sz w:val="24"/>
          <w:szCs w:val="24"/>
        </w:rPr>
        <w:t xml:space="preserve"> </w:t>
      </w:r>
      <w:r w:rsidRPr="00EE7169">
        <w:rPr>
          <w:rFonts w:ascii="Garamond" w:hAnsi="Garamond"/>
          <w:sz w:val="24"/>
          <w:szCs w:val="24"/>
        </w:rPr>
        <w:t xml:space="preserve">provincial SOEs to </w:t>
      </w:r>
      <w:r w:rsidR="007E7CEB">
        <w:rPr>
          <w:rFonts w:ascii="Garamond" w:hAnsi="Garamond" w:hint="eastAsia"/>
          <w:sz w:val="24"/>
          <w:szCs w:val="24"/>
        </w:rPr>
        <w:t>municipality</w:t>
      </w:r>
      <w:r w:rsidR="007E7CEB" w:rsidRPr="00EE7169">
        <w:rPr>
          <w:rFonts w:ascii="Garamond" w:hAnsi="Garamond"/>
          <w:sz w:val="24"/>
          <w:szCs w:val="24"/>
        </w:rPr>
        <w:t xml:space="preserve"> </w:t>
      </w:r>
      <w:r w:rsidRPr="00EE7169">
        <w:rPr>
          <w:rFonts w:ascii="Garamond" w:hAnsi="Garamond"/>
          <w:sz w:val="24"/>
          <w:szCs w:val="24"/>
        </w:rPr>
        <w:t>and county government</w:t>
      </w:r>
      <w:r w:rsidR="0018384A">
        <w:rPr>
          <w:rFonts w:ascii="Garamond" w:hAnsi="Garamond"/>
          <w:sz w:val="24"/>
          <w:szCs w:val="24"/>
        </w:rPr>
        <w:t xml:space="preserve"> SOEs</w:t>
      </w:r>
      <w:r w:rsidRPr="00EE7169">
        <w:rPr>
          <w:rFonts w:ascii="Garamond" w:hAnsi="Garamond"/>
          <w:sz w:val="24"/>
          <w:szCs w:val="24"/>
        </w:rPr>
        <w:t xml:space="preserve"> </w:t>
      </w:r>
      <w:r w:rsidR="00AF2FCB">
        <w:rPr>
          <w:rFonts w:ascii="Garamond" w:hAnsi="Garamond"/>
          <w:sz w:val="24"/>
          <w:szCs w:val="24"/>
        </w:rPr>
        <w:t>was</w:t>
      </w:r>
      <w:r w:rsidR="00AF2FCB" w:rsidRPr="00EE7169">
        <w:rPr>
          <w:rFonts w:ascii="Garamond" w:hAnsi="Garamond"/>
          <w:sz w:val="24"/>
          <w:szCs w:val="24"/>
        </w:rPr>
        <w:t xml:space="preserve"> </w:t>
      </w:r>
      <w:r w:rsidRPr="00EE7169">
        <w:rPr>
          <w:rFonts w:ascii="Garamond" w:hAnsi="Garamond"/>
          <w:sz w:val="24"/>
          <w:szCs w:val="24"/>
        </w:rPr>
        <w:t>also widespread. Figure 1 shows the 1998 distribution of SOEs with oversight government at different levels, in terms of number of firms, employment, and output, respectively. Differing from earlier waves of decentralization, many SOEs, after being decentralized, were also privatized by lower governments. Indeed, many decrees of provincial governments mentioned that the purposes of decentralizing SOEs include facilitating firm restructuring, and even “first decentralize, then restructure ownership.”</w:t>
      </w:r>
      <w:r w:rsidRPr="00EE7169">
        <w:rPr>
          <w:rStyle w:val="FootnoteReference"/>
          <w:rFonts w:ascii="Garamond" w:hAnsi="Garamond"/>
          <w:sz w:val="24"/>
          <w:szCs w:val="24"/>
        </w:rPr>
        <w:footnoteReference w:id="4"/>
      </w:r>
      <w:r w:rsidRPr="00EE7169">
        <w:rPr>
          <w:rFonts w:ascii="Garamond" w:hAnsi="Garamond"/>
          <w:sz w:val="24"/>
          <w:szCs w:val="24"/>
        </w:rPr>
        <w:t xml:space="preserve">  </w:t>
      </w:r>
    </w:p>
    <w:p w14:paraId="028BE791" w14:textId="0C22D933" w:rsidR="00A2497E" w:rsidRPr="00EE7169" w:rsidRDefault="00A2497E" w:rsidP="00AC314F">
      <w:pPr>
        <w:tabs>
          <w:tab w:val="num" w:pos="720"/>
        </w:tabs>
        <w:spacing w:after="120" w:line="480" w:lineRule="auto"/>
        <w:rPr>
          <w:rFonts w:ascii="Garamond" w:hAnsi="Garamond"/>
          <w:sz w:val="24"/>
          <w:szCs w:val="24"/>
        </w:rPr>
      </w:pPr>
      <w:r w:rsidRPr="00EE7169">
        <w:rPr>
          <w:rFonts w:ascii="Garamond" w:hAnsi="Garamond"/>
          <w:sz w:val="24"/>
          <w:szCs w:val="24"/>
        </w:rPr>
        <w:tab/>
        <w:t xml:space="preserve">What determines which SOEs become decentralized? To understand </w:t>
      </w:r>
      <w:r w:rsidR="00A278ED">
        <w:rPr>
          <w:rFonts w:ascii="Garamond" w:hAnsi="Garamond"/>
          <w:sz w:val="24"/>
          <w:szCs w:val="24"/>
        </w:rPr>
        <w:t>this</w:t>
      </w:r>
      <w:r w:rsidRPr="00EE7169">
        <w:rPr>
          <w:rFonts w:ascii="Garamond" w:hAnsi="Garamond"/>
          <w:sz w:val="24"/>
          <w:szCs w:val="24"/>
        </w:rPr>
        <w:t xml:space="preserve">, consider a simplified economy </w:t>
      </w:r>
      <w:r w:rsidR="00A278ED">
        <w:rPr>
          <w:rFonts w:ascii="Garamond" w:hAnsi="Garamond"/>
          <w:sz w:val="24"/>
          <w:szCs w:val="24"/>
        </w:rPr>
        <w:t xml:space="preserve">with </w:t>
      </w:r>
      <w:r w:rsidRPr="00EE7169">
        <w:rPr>
          <w:rFonts w:ascii="Garamond" w:hAnsi="Garamond"/>
          <w:sz w:val="24"/>
          <w:szCs w:val="24"/>
        </w:rPr>
        <w:t xml:space="preserve">just two layers of government, upper and lower governments, under which an SOE can be governed. </w:t>
      </w:r>
      <w:r w:rsidR="00A278ED">
        <w:rPr>
          <w:rFonts w:ascii="Garamond" w:hAnsi="Garamond"/>
          <w:sz w:val="24"/>
          <w:szCs w:val="24"/>
        </w:rPr>
        <w:t>What</w:t>
      </w:r>
      <w:r w:rsidRPr="00EE7169">
        <w:rPr>
          <w:rFonts w:ascii="Garamond" w:hAnsi="Garamond"/>
          <w:sz w:val="24"/>
          <w:szCs w:val="24"/>
        </w:rPr>
        <w:t xml:space="preserve"> benefits </w:t>
      </w:r>
      <w:r w:rsidR="00A278ED">
        <w:rPr>
          <w:rFonts w:ascii="Garamond" w:hAnsi="Garamond"/>
          <w:sz w:val="24"/>
          <w:szCs w:val="24"/>
        </w:rPr>
        <w:t xml:space="preserve">do </w:t>
      </w:r>
      <w:r w:rsidRPr="00EE7169">
        <w:rPr>
          <w:rFonts w:ascii="Garamond" w:hAnsi="Garamond"/>
          <w:sz w:val="24"/>
          <w:szCs w:val="24"/>
        </w:rPr>
        <w:t>the oversight rights entai</w:t>
      </w:r>
      <w:r w:rsidR="00A278ED">
        <w:rPr>
          <w:rFonts w:ascii="Garamond" w:hAnsi="Garamond"/>
          <w:sz w:val="24"/>
          <w:szCs w:val="24"/>
        </w:rPr>
        <w:t>l for the oversight government?</w:t>
      </w:r>
      <w:r w:rsidRPr="00EE7169">
        <w:rPr>
          <w:rFonts w:ascii="Garamond" w:hAnsi="Garamond"/>
          <w:sz w:val="24"/>
          <w:szCs w:val="24"/>
        </w:rPr>
        <w:t xml:space="preserve"> Even though all SOEs are state-owned, that is, belonging to the state, the actual control rights are in the hand of either the upper or the lower government. Consistent with the institutional features of China, the oversight government has private benefits of controls as follows. </w:t>
      </w:r>
      <w:r w:rsidRPr="00C72844">
        <w:rPr>
          <w:rFonts w:ascii="Garamond" w:hAnsi="Garamond"/>
          <w:i/>
          <w:sz w:val="24"/>
          <w:szCs w:val="24"/>
        </w:rPr>
        <w:t>First</w:t>
      </w:r>
      <w:r w:rsidRPr="00EE7169">
        <w:rPr>
          <w:rFonts w:ascii="Garamond" w:hAnsi="Garamond"/>
          <w:sz w:val="24"/>
          <w:szCs w:val="24"/>
        </w:rPr>
        <w:t xml:space="preserve">, the oversight government can appoint key positions of the SOE under its oversight. These positions in general are paid well, and the control of these positions entails rents for the oversight government. </w:t>
      </w:r>
      <w:r w:rsidRPr="00C72844">
        <w:rPr>
          <w:rFonts w:ascii="Garamond" w:hAnsi="Garamond"/>
          <w:i/>
          <w:sz w:val="24"/>
          <w:szCs w:val="24"/>
        </w:rPr>
        <w:t>Second</w:t>
      </w:r>
      <w:r w:rsidRPr="00EE7169">
        <w:rPr>
          <w:rFonts w:ascii="Garamond" w:hAnsi="Garamond"/>
          <w:sz w:val="24"/>
          <w:szCs w:val="24"/>
        </w:rPr>
        <w:t xml:space="preserve">, the oversight </w:t>
      </w:r>
      <w:r w:rsidRPr="00EE7169">
        <w:rPr>
          <w:rFonts w:ascii="Garamond" w:hAnsi="Garamond"/>
          <w:sz w:val="24"/>
          <w:szCs w:val="24"/>
        </w:rPr>
        <w:lastRenderedPageBreak/>
        <w:t>government has some rights over key strategic decisions of the SOE. For instance, the oversight government can prevent bankruptcy to maintain employment for the benefits of social stability (</w:t>
      </w:r>
      <w:r w:rsidR="00C72844" w:rsidRPr="00EE7169">
        <w:rPr>
          <w:rFonts w:ascii="Garamond" w:hAnsi="Garamond"/>
          <w:sz w:val="24"/>
          <w:szCs w:val="24"/>
        </w:rPr>
        <w:t>Demsetz and Lehn, 1985</w:t>
      </w:r>
      <w:r w:rsidR="00C72844">
        <w:rPr>
          <w:rFonts w:ascii="Garamond" w:hAnsi="Garamond"/>
          <w:sz w:val="24"/>
          <w:szCs w:val="24"/>
        </w:rPr>
        <w:t xml:space="preserve">; </w:t>
      </w:r>
      <w:r w:rsidRPr="00EE7169">
        <w:rPr>
          <w:rFonts w:ascii="Garamond" w:hAnsi="Garamond"/>
          <w:sz w:val="24"/>
          <w:szCs w:val="24"/>
        </w:rPr>
        <w:t xml:space="preserve">Shleifer and Vishney 1994), a key criterion in evaluating local government officials. </w:t>
      </w:r>
      <w:r w:rsidR="00C72844">
        <w:rPr>
          <w:rFonts w:ascii="Garamond" w:hAnsi="Garamond"/>
          <w:i/>
          <w:sz w:val="24"/>
          <w:szCs w:val="24"/>
        </w:rPr>
        <w:t>Third</w:t>
      </w:r>
      <w:r w:rsidRPr="00EE7169">
        <w:rPr>
          <w:rFonts w:ascii="Garamond" w:hAnsi="Garamond"/>
          <w:sz w:val="24"/>
          <w:szCs w:val="24"/>
        </w:rPr>
        <w:t xml:space="preserve">, and perhaps more importantly, the oversight government enjoys cash flow rights in the form of tax remittance and discretion over the SOE’s profit. </w:t>
      </w:r>
      <w:r w:rsidRPr="00EE7169">
        <w:rPr>
          <w:rFonts w:ascii="Garamond" w:eastAsia="Times New Roman" w:hAnsi="Garamond"/>
          <w:sz w:val="24"/>
          <w:szCs w:val="24"/>
        </w:rPr>
        <w:t xml:space="preserve">After the 1994 fiscal reform, SOEs have to pay both local and </w:t>
      </w:r>
      <w:r w:rsidR="00C72844">
        <w:rPr>
          <w:rFonts w:ascii="Garamond" w:eastAsia="Times New Roman" w:hAnsi="Garamond"/>
          <w:sz w:val="24"/>
          <w:szCs w:val="24"/>
        </w:rPr>
        <w:t>national</w:t>
      </w:r>
      <w:r w:rsidRPr="00EE7169">
        <w:rPr>
          <w:rFonts w:ascii="Garamond" w:eastAsia="Times New Roman" w:hAnsi="Garamond"/>
          <w:sz w:val="24"/>
          <w:szCs w:val="24"/>
        </w:rPr>
        <w:t xml:space="preserve"> taxes, and the local govern</w:t>
      </w:r>
      <w:r w:rsidR="00C72844">
        <w:rPr>
          <w:rFonts w:ascii="Garamond" w:eastAsia="Times New Roman" w:hAnsi="Garamond"/>
          <w:sz w:val="24"/>
          <w:szCs w:val="24"/>
        </w:rPr>
        <w:t>ment can retain some local tax revenues</w:t>
      </w:r>
      <w:r w:rsidRPr="00EE7169">
        <w:rPr>
          <w:rFonts w:ascii="Garamond" w:eastAsia="Times New Roman" w:hAnsi="Garamond"/>
          <w:sz w:val="24"/>
          <w:szCs w:val="24"/>
        </w:rPr>
        <w:t>. In general, the oversight government obtains a significant share of various taxes that the SO</w:t>
      </w:r>
      <w:r w:rsidR="00C72844">
        <w:rPr>
          <w:rFonts w:ascii="Garamond" w:eastAsia="Times New Roman" w:hAnsi="Garamond"/>
          <w:sz w:val="24"/>
          <w:szCs w:val="24"/>
        </w:rPr>
        <w:t>E pays, such as value added tax and</w:t>
      </w:r>
      <w:r w:rsidRPr="00EE7169">
        <w:rPr>
          <w:rFonts w:ascii="Garamond" w:eastAsia="Times New Roman" w:hAnsi="Garamond"/>
          <w:sz w:val="24"/>
          <w:szCs w:val="24"/>
        </w:rPr>
        <w:t xml:space="preserve"> corporate income tax (Wong and Bird, 2008; World Bank and DRC, 2013).</w:t>
      </w:r>
      <w:r w:rsidRPr="00EE7169">
        <w:rPr>
          <w:rStyle w:val="FootnoteReference"/>
          <w:rFonts w:ascii="Garamond" w:eastAsia="Times New Roman" w:hAnsi="Garamond"/>
          <w:sz w:val="24"/>
          <w:szCs w:val="24"/>
        </w:rPr>
        <w:footnoteReference w:id="5"/>
      </w:r>
      <w:r w:rsidRPr="00EE7169">
        <w:rPr>
          <w:rFonts w:ascii="Garamond" w:hAnsi="Garamond"/>
          <w:sz w:val="24"/>
          <w:szCs w:val="24"/>
        </w:rPr>
        <w:t xml:space="preserve">  </w:t>
      </w:r>
      <w:r w:rsidR="00C72844" w:rsidRPr="00C72844">
        <w:rPr>
          <w:rFonts w:ascii="Garamond" w:eastAsia="Times New Roman" w:hAnsi="Garamond"/>
          <w:i/>
          <w:sz w:val="24"/>
          <w:szCs w:val="24"/>
        </w:rPr>
        <w:t>Finally</w:t>
      </w:r>
      <w:r w:rsidRPr="00EE7169">
        <w:rPr>
          <w:rFonts w:ascii="Garamond" w:eastAsia="Times New Roman" w:hAnsi="Garamond"/>
          <w:sz w:val="24"/>
          <w:szCs w:val="24"/>
        </w:rPr>
        <w:t>, as direct owners of the SOE, the delegated local government also has more claims to the SOE’s asset returns.</w:t>
      </w:r>
      <w:r w:rsidRPr="00EE7169">
        <w:rPr>
          <w:rStyle w:val="FootnoteReference"/>
          <w:rFonts w:ascii="Garamond" w:eastAsia="Times New Roman" w:hAnsi="Garamond"/>
          <w:sz w:val="24"/>
          <w:szCs w:val="24"/>
        </w:rPr>
        <w:footnoteReference w:id="6"/>
      </w:r>
      <w:r w:rsidRPr="00EE7169">
        <w:rPr>
          <w:rFonts w:ascii="Garamond" w:eastAsia="Times New Roman" w:hAnsi="Garamond"/>
          <w:sz w:val="24"/>
          <w:szCs w:val="24"/>
        </w:rPr>
        <w:t xml:space="preserve"> </w:t>
      </w:r>
      <w:r w:rsidRPr="00EE7169">
        <w:rPr>
          <w:rFonts w:ascii="Garamond" w:hAnsi="Garamond"/>
          <w:sz w:val="24"/>
          <w:szCs w:val="24"/>
        </w:rPr>
        <w:t xml:space="preserve">Oversight rights also entail </w:t>
      </w:r>
      <w:r w:rsidRPr="00EE7169">
        <w:rPr>
          <w:rFonts w:ascii="Garamond" w:hAnsi="Garamond"/>
          <w:i/>
          <w:sz w:val="24"/>
          <w:szCs w:val="24"/>
        </w:rPr>
        <w:t>costs</w:t>
      </w:r>
      <w:r w:rsidRPr="00EE7169">
        <w:rPr>
          <w:rFonts w:ascii="Garamond" w:hAnsi="Garamond"/>
          <w:sz w:val="24"/>
          <w:szCs w:val="24"/>
        </w:rPr>
        <w:t>. If the SOE loses money and needs much subsidy, the oversight government shoulders the burden.</w:t>
      </w:r>
      <w:r w:rsidR="00C72844">
        <w:rPr>
          <w:rFonts w:ascii="Garamond" w:hAnsi="Garamond"/>
          <w:sz w:val="24"/>
          <w:szCs w:val="24"/>
        </w:rPr>
        <w:t xml:space="preserve"> </w:t>
      </w:r>
    </w:p>
    <w:p w14:paraId="36F84B93" w14:textId="42FE8B46"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What factors would prompt the incumbent oversight government to decentralize? Before we proceed, it is useful to realize that the decision rights </w:t>
      </w:r>
      <w:r w:rsidR="00C72844">
        <w:rPr>
          <w:rFonts w:ascii="Garamond" w:hAnsi="Garamond"/>
          <w:sz w:val="24"/>
          <w:szCs w:val="24"/>
        </w:rPr>
        <w:t>were top-down, lying</w:t>
      </w:r>
      <w:r w:rsidRPr="00EE7169">
        <w:rPr>
          <w:rFonts w:ascii="Garamond" w:hAnsi="Garamond"/>
          <w:sz w:val="24"/>
          <w:szCs w:val="24"/>
        </w:rPr>
        <w:t xml:space="preserve"> largely in the hands of the incumbent oversight government. </w:t>
      </w:r>
      <w:r w:rsidR="00C72844">
        <w:rPr>
          <w:rFonts w:ascii="Garamond" w:hAnsi="Garamond"/>
          <w:sz w:val="24"/>
          <w:szCs w:val="24"/>
        </w:rPr>
        <w:t>In general, t</w:t>
      </w:r>
      <w:r w:rsidRPr="00EE7169">
        <w:rPr>
          <w:rFonts w:ascii="Garamond" w:hAnsi="Garamond"/>
          <w:sz w:val="24"/>
          <w:szCs w:val="24"/>
        </w:rPr>
        <w:t>he incumbent oversight government wants to control important asset in order to maintain some control of the state over the economy. Indeed, around the beginning of our sample period, in the second half of the 1990s, the Chinese government launched a major privatization and decentralization campaign. The slogan for the reform included “grab the big and let go the small” (Xu, Zhu and Lin 2005). With limited attention span</w:t>
      </w:r>
      <w:r w:rsidR="00AF2FCB">
        <w:rPr>
          <w:rFonts w:ascii="Garamond" w:hAnsi="Garamond"/>
          <w:sz w:val="24"/>
          <w:szCs w:val="24"/>
        </w:rPr>
        <w:t>,</w:t>
      </w:r>
      <w:r w:rsidRPr="00EE7169">
        <w:rPr>
          <w:rFonts w:ascii="Garamond" w:hAnsi="Garamond"/>
          <w:sz w:val="24"/>
          <w:szCs w:val="24"/>
        </w:rPr>
        <w:t xml:space="preserve"> information processing ability (Bolton and Dewatripont, 1994)</w:t>
      </w:r>
      <w:r w:rsidR="00AF2FCB">
        <w:rPr>
          <w:rFonts w:ascii="Garamond" w:hAnsi="Garamond"/>
          <w:sz w:val="24"/>
          <w:szCs w:val="24"/>
        </w:rPr>
        <w:t>,</w:t>
      </w:r>
      <w:r w:rsidRPr="00EE7169">
        <w:rPr>
          <w:rFonts w:ascii="Garamond" w:hAnsi="Garamond"/>
          <w:sz w:val="24"/>
          <w:szCs w:val="24"/>
        </w:rPr>
        <w:t xml:space="preserve"> and comparative advantage in handling complex tasks </w:t>
      </w:r>
      <w:r w:rsidRPr="00EE7169">
        <w:rPr>
          <w:rFonts w:ascii="Garamond" w:hAnsi="Garamond"/>
          <w:sz w:val="24"/>
          <w:szCs w:val="24"/>
        </w:rPr>
        <w:lastRenderedPageBreak/>
        <w:t xml:space="preserve">(Garicano 2000), it makes sense for the upper government to focus its attention to important SOEs. </w:t>
      </w:r>
    </w:p>
    <w:p w14:paraId="6E781034" w14:textId="1743323A"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A second motive for the incumbent oversight government to decentralize SOEs is likely to unload fiscal burdens. Over time, due to incentive problems, </w:t>
      </w:r>
      <w:r w:rsidR="00C72844">
        <w:rPr>
          <w:rFonts w:ascii="Garamond" w:hAnsi="Garamond"/>
          <w:sz w:val="24"/>
          <w:szCs w:val="24"/>
        </w:rPr>
        <w:t xml:space="preserve">many </w:t>
      </w:r>
      <w:r w:rsidRPr="00EE7169">
        <w:rPr>
          <w:rFonts w:ascii="Garamond" w:hAnsi="Garamond"/>
          <w:sz w:val="24"/>
          <w:szCs w:val="24"/>
        </w:rPr>
        <w:t>SOEs had experienced declining profitability</w:t>
      </w:r>
      <w:r w:rsidR="00504817">
        <w:rPr>
          <w:rFonts w:ascii="Garamond" w:hAnsi="Garamond"/>
          <w:sz w:val="24"/>
          <w:szCs w:val="24"/>
        </w:rPr>
        <w:t>, which partially motivated the government to decentralize.</w:t>
      </w:r>
      <w:r w:rsidRPr="00EE7169">
        <w:rPr>
          <w:rFonts w:ascii="Garamond" w:hAnsi="Garamond"/>
          <w:sz w:val="24"/>
          <w:szCs w:val="24"/>
        </w:rPr>
        <w:t xml:space="preserve">. Since the </w:t>
      </w:r>
      <w:r w:rsidR="00504817">
        <w:rPr>
          <w:rFonts w:ascii="Garamond" w:hAnsi="Garamond"/>
          <w:sz w:val="24"/>
          <w:szCs w:val="24"/>
        </w:rPr>
        <w:t>cost</w:t>
      </w:r>
      <w:r w:rsidR="00504817" w:rsidRPr="00EE7169">
        <w:rPr>
          <w:rFonts w:ascii="Garamond" w:hAnsi="Garamond"/>
          <w:sz w:val="24"/>
          <w:szCs w:val="24"/>
        </w:rPr>
        <w:t xml:space="preserve"> </w:t>
      </w:r>
      <w:r w:rsidRPr="00EE7169">
        <w:rPr>
          <w:rFonts w:ascii="Garamond" w:hAnsi="Garamond"/>
          <w:sz w:val="24"/>
          <w:szCs w:val="24"/>
        </w:rPr>
        <w:t xml:space="preserve">of control is larger for </w:t>
      </w:r>
      <w:r w:rsidR="00504817">
        <w:rPr>
          <w:rFonts w:ascii="Garamond" w:hAnsi="Garamond"/>
          <w:sz w:val="24"/>
          <w:szCs w:val="24"/>
        </w:rPr>
        <w:t>ill</w:t>
      </w:r>
      <w:r w:rsidRPr="00EE7169">
        <w:rPr>
          <w:rFonts w:ascii="Garamond" w:hAnsi="Garamond"/>
          <w:sz w:val="24"/>
          <w:szCs w:val="24"/>
        </w:rPr>
        <w:t xml:space="preserve">-performing SOEs—with </w:t>
      </w:r>
      <w:r w:rsidR="00504817">
        <w:rPr>
          <w:rFonts w:ascii="Garamond" w:hAnsi="Garamond"/>
          <w:sz w:val="24"/>
          <w:szCs w:val="24"/>
        </w:rPr>
        <w:t>less</w:t>
      </w:r>
      <w:r w:rsidR="00504817" w:rsidRPr="00EE7169">
        <w:rPr>
          <w:rFonts w:ascii="Garamond" w:hAnsi="Garamond"/>
          <w:sz w:val="24"/>
          <w:szCs w:val="24"/>
        </w:rPr>
        <w:t xml:space="preserve"> </w:t>
      </w:r>
      <w:r w:rsidRPr="00EE7169">
        <w:rPr>
          <w:rFonts w:ascii="Garamond" w:hAnsi="Garamond"/>
          <w:sz w:val="24"/>
          <w:szCs w:val="24"/>
        </w:rPr>
        <w:t>rents to share</w:t>
      </w:r>
      <w:r w:rsidR="00504817">
        <w:rPr>
          <w:rFonts w:ascii="Garamond" w:hAnsi="Garamond"/>
          <w:sz w:val="24"/>
          <w:szCs w:val="24"/>
        </w:rPr>
        <w:t xml:space="preserve"> and more subsidies to shoulder</w:t>
      </w:r>
      <w:r w:rsidRPr="00EE7169">
        <w:rPr>
          <w:rFonts w:ascii="Garamond" w:hAnsi="Garamond"/>
          <w:sz w:val="24"/>
          <w:szCs w:val="24"/>
        </w:rPr>
        <w:t xml:space="preserve">—we expect the incumbent oversight government to decentralize first ill-performing SOEs.  </w:t>
      </w:r>
    </w:p>
    <w:p w14:paraId="0F1297E0" w14:textId="02DA4573" w:rsidR="00A2497E" w:rsidRPr="00EE7169" w:rsidRDefault="00A2497E" w:rsidP="00AC314F">
      <w:pPr>
        <w:spacing w:after="120" w:line="480" w:lineRule="auto"/>
        <w:ind w:firstLine="720"/>
        <w:rPr>
          <w:rFonts w:ascii="Garamond" w:hAnsi="Garamond"/>
          <w:sz w:val="24"/>
          <w:szCs w:val="24"/>
        </w:rPr>
      </w:pPr>
      <w:r w:rsidRPr="00EE7169">
        <w:rPr>
          <w:rFonts w:ascii="Garamond" w:hAnsi="Garamond"/>
          <w:i/>
          <w:sz w:val="24"/>
          <w:szCs w:val="24"/>
        </w:rPr>
        <w:t>Prediction 1</w:t>
      </w:r>
      <w:r w:rsidRPr="00EE7169">
        <w:rPr>
          <w:rFonts w:ascii="Garamond" w:hAnsi="Garamond"/>
          <w:sz w:val="24"/>
          <w:szCs w:val="24"/>
        </w:rPr>
        <w:t>. The incumbent oversight government is more likely to decentralize less important and ill-performing SOEs.</w:t>
      </w:r>
      <w:r w:rsidR="001214C8">
        <w:rPr>
          <w:rFonts w:ascii="Garamond" w:hAnsi="Garamond"/>
          <w:sz w:val="24"/>
          <w:szCs w:val="24"/>
        </w:rPr>
        <w:t xml:space="preserve"> </w:t>
      </w:r>
    </w:p>
    <w:p w14:paraId="6C307A6E" w14:textId="77777777" w:rsidR="0018384A"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A third </w:t>
      </w:r>
      <w:r w:rsidR="00B85DBF">
        <w:rPr>
          <w:rFonts w:ascii="Garamond" w:hAnsi="Garamond"/>
          <w:sz w:val="24"/>
          <w:szCs w:val="24"/>
        </w:rPr>
        <w:t xml:space="preserve">likely </w:t>
      </w:r>
      <w:r w:rsidRPr="00EE7169">
        <w:rPr>
          <w:rFonts w:ascii="Garamond" w:hAnsi="Garamond"/>
          <w:sz w:val="24"/>
          <w:szCs w:val="24"/>
        </w:rPr>
        <w:t>motive for the government to decentralize is to revitalize</w:t>
      </w:r>
      <w:r w:rsidR="00B85DBF">
        <w:rPr>
          <w:rFonts w:ascii="Garamond" w:hAnsi="Garamond"/>
          <w:sz w:val="24"/>
          <w:szCs w:val="24"/>
        </w:rPr>
        <w:t xml:space="preserve"> SOEs</w:t>
      </w:r>
      <w:r w:rsidRPr="00EE7169">
        <w:rPr>
          <w:rFonts w:ascii="Garamond" w:hAnsi="Garamond"/>
          <w:sz w:val="24"/>
          <w:szCs w:val="24"/>
        </w:rPr>
        <w:t xml:space="preserve"> to make them more efficient. Indeed, with many SOEs having difficulties in paying their employees and pension liabilities</w:t>
      </w:r>
      <w:r w:rsidR="00B85DBF">
        <w:rPr>
          <w:rFonts w:ascii="Garamond" w:hAnsi="Garamond"/>
          <w:sz w:val="24"/>
          <w:szCs w:val="24"/>
        </w:rPr>
        <w:t xml:space="preserve"> in the 1990s</w:t>
      </w:r>
      <w:r w:rsidRPr="00EE7169">
        <w:rPr>
          <w:rFonts w:ascii="Garamond" w:hAnsi="Garamond"/>
          <w:sz w:val="24"/>
          <w:szCs w:val="24"/>
        </w:rPr>
        <w:t xml:space="preserve">, some governments such as Shaanxi and Jiangxi provincial governments tried to provide </w:t>
      </w:r>
      <w:r w:rsidR="00B85DBF">
        <w:rPr>
          <w:rFonts w:ascii="Garamond" w:hAnsi="Garamond"/>
          <w:sz w:val="24"/>
          <w:szCs w:val="24"/>
        </w:rPr>
        <w:t>sufficient</w:t>
      </w:r>
      <w:r w:rsidRPr="00EE7169">
        <w:rPr>
          <w:rFonts w:ascii="Garamond" w:hAnsi="Garamond"/>
          <w:sz w:val="24"/>
          <w:szCs w:val="24"/>
        </w:rPr>
        <w:t xml:space="preserve"> incentives to local governments by sharing and shouldering some fiscal liabilities associated with SOE decentralization.</w:t>
      </w:r>
      <w:r w:rsidRPr="00EE7169">
        <w:rPr>
          <w:rStyle w:val="FootnoteReference"/>
          <w:rFonts w:ascii="Garamond" w:hAnsi="Garamond"/>
          <w:sz w:val="24"/>
          <w:szCs w:val="24"/>
        </w:rPr>
        <w:footnoteReference w:id="7"/>
      </w:r>
      <w:r w:rsidRPr="00EE7169">
        <w:rPr>
          <w:rFonts w:ascii="Garamond" w:hAnsi="Garamond"/>
          <w:sz w:val="24"/>
          <w:szCs w:val="24"/>
        </w:rPr>
        <w:t xml:space="preserve"> It </w:t>
      </w:r>
      <w:r w:rsidR="00B85DBF">
        <w:rPr>
          <w:rFonts w:ascii="Garamond" w:hAnsi="Garamond"/>
          <w:sz w:val="24"/>
          <w:szCs w:val="24"/>
        </w:rPr>
        <w:t xml:space="preserve">is </w:t>
      </w:r>
      <w:r w:rsidRPr="00EE7169">
        <w:rPr>
          <w:rFonts w:ascii="Garamond" w:hAnsi="Garamond"/>
          <w:sz w:val="24"/>
          <w:szCs w:val="24"/>
        </w:rPr>
        <w:t xml:space="preserve">thus </w:t>
      </w:r>
      <w:r w:rsidR="00B85DBF">
        <w:rPr>
          <w:rFonts w:ascii="Garamond" w:hAnsi="Garamond"/>
          <w:sz w:val="24"/>
          <w:szCs w:val="24"/>
        </w:rPr>
        <w:t xml:space="preserve">not surprising </w:t>
      </w:r>
      <w:r w:rsidRPr="00EE7169">
        <w:rPr>
          <w:rFonts w:ascii="Garamond" w:hAnsi="Garamond"/>
          <w:sz w:val="24"/>
          <w:szCs w:val="24"/>
        </w:rPr>
        <w:t xml:space="preserve">that the </w:t>
      </w:r>
      <w:r w:rsidR="00B85DBF">
        <w:rPr>
          <w:rFonts w:ascii="Garamond" w:hAnsi="Garamond"/>
          <w:sz w:val="24"/>
          <w:szCs w:val="24"/>
        </w:rPr>
        <w:t>oversight</w:t>
      </w:r>
      <w:r w:rsidRPr="00EE7169">
        <w:rPr>
          <w:rFonts w:ascii="Garamond" w:hAnsi="Garamond"/>
          <w:sz w:val="24"/>
          <w:szCs w:val="24"/>
        </w:rPr>
        <w:t xml:space="preserve"> government would decentralize those SOEs who </w:t>
      </w:r>
      <w:r w:rsidR="0018384A">
        <w:rPr>
          <w:rFonts w:ascii="Garamond" w:hAnsi="Garamond"/>
          <w:sz w:val="24"/>
          <w:szCs w:val="24"/>
        </w:rPr>
        <w:t>would gain the most in efficiency from decentralization.</w:t>
      </w:r>
    </w:p>
    <w:p w14:paraId="1105416C" w14:textId="327689AF"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Under what circumstances is a</w:t>
      </w:r>
      <w:r w:rsidR="005904DD">
        <w:rPr>
          <w:rFonts w:ascii="Garamond" w:hAnsi="Garamond" w:hint="eastAsia"/>
          <w:sz w:val="24"/>
          <w:szCs w:val="24"/>
        </w:rPr>
        <w:t>n</w:t>
      </w:r>
      <w:r w:rsidRPr="00EE7169">
        <w:rPr>
          <w:rFonts w:ascii="Garamond" w:hAnsi="Garamond"/>
          <w:sz w:val="24"/>
          <w:szCs w:val="24"/>
        </w:rPr>
        <w:t xml:space="preserve"> SOE more likely to increase its efficiency after decentralization? The literature, starting from Hayek (1945) and including Aghion and Tirole (1994), suggests that a key consideration for efficiency improvement by decentralization is to reduce information asymmetry. SOE managers have important information advantage about its production technology, profitable opportunities, cost conditions, and so on, that is, firm-specific information (Hayek, 1945). The oversight government could obtain some of the information </w:t>
      </w:r>
      <w:r w:rsidR="00AF2FCB">
        <w:rPr>
          <w:rFonts w:ascii="Garamond" w:hAnsi="Garamond"/>
          <w:sz w:val="24"/>
          <w:szCs w:val="24"/>
        </w:rPr>
        <w:t>from</w:t>
      </w:r>
      <w:r w:rsidR="00AF2FCB" w:rsidRPr="00EE7169">
        <w:rPr>
          <w:rFonts w:ascii="Garamond" w:hAnsi="Garamond"/>
          <w:sz w:val="24"/>
          <w:szCs w:val="24"/>
        </w:rPr>
        <w:t xml:space="preserve"> </w:t>
      </w:r>
      <w:r w:rsidRPr="00EE7169">
        <w:rPr>
          <w:rFonts w:ascii="Garamond" w:hAnsi="Garamond"/>
          <w:sz w:val="24"/>
          <w:szCs w:val="24"/>
        </w:rPr>
        <w:t xml:space="preserve">reporting of SOE managers, or via its own monitoring and observations of performance of similar firms.  </w:t>
      </w:r>
      <w:r w:rsidRPr="00EE7169">
        <w:rPr>
          <w:rFonts w:ascii="Garamond" w:hAnsi="Garamond"/>
          <w:sz w:val="24"/>
          <w:szCs w:val="24"/>
        </w:rPr>
        <w:lastRenderedPageBreak/>
        <w:t xml:space="preserve">However, SOE managers and the oversight government have conflicts of interest.  SOE managers, for instance, may be more interested in empire building, or a “quiet life” (Hicks, 1935). The reporting of SOE managers can thus be strategic, biased, and not to be relied upon ( Alonso </w:t>
      </w:r>
      <w:r w:rsidRPr="00EE7169">
        <w:rPr>
          <w:rFonts w:ascii="Garamond" w:hAnsi="Garamond"/>
          <w:i/>
          <w:sz w:val="24"/>
          <w:szCs w:val="24"/>
        </w:rPr>
        <w:t>et al</w:t>
      </w:r>
      <w:r w:rsidRPr="00EE7169">
        <w:rPr>
          <w:rFonts w:ascii="Garamond" w:hAnsi="Garamond"/>
          <w:sz w:val="24"/>
          <w:szCs w:val="24"/>
        </w:rPr>
        <w:t xml:space="preserve">. 2008).   </w:t>
      </w:r>
    </w:p>
    <w:p w14:paraId="11AB8A5A" w14:textId="78AE80F5"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The extent to which the oversight government can limit the information loss depends on its ability to directly acquire information and monitor the SOE. There are strong reasons that the ability to obtain direct information on the SOE depends on the distance between the oversight government and the SOE.</w:t>
      </w:r>
      <w:r w:rsidRPr="00EE7169">
        <w:rPr>
          <w:rStyle w:val="FootnoteReference"/>
          <w:rFonts w:ascii="Garamond" w:hAnsi="Garamond"/>
          <w:sz w:val="24"/>
          <w:szCs w:val="24"/>
        </w:rPr>
        <w:footnoteReference w:id="8"/>
      </w:r>
      <w:r w:rsidRPr="00EE7169">
        <w:rPr>
          <w:rFonts w:ascii="Garamond" w:hAnsi="Garamond"/>
          <w:sz w:val="24"/>
          <w:szCs w:val="24"/>
        </w:rPr>
        <w:t xml:space="preserve"> The oversight government officials are subject to time constraints.  When the distance is shorter, the official is more likely to travel to the </w:t>
      </w:r>
      <w:r w:rsidR="008670A6">
        <w:rPr>
          <w:rFonts w:ascii="Garamond" w:hAnsi="Garamond"/>
          <w:sz w:val="24"/>
          <w:szCs w:val="24"/>
        </w:rPr>
        <w:t>site</w:t>
      </w:r>
      <w:r w:rsidRPr="00EE7169">
        <w:rPr>
          <w:rFonts w:ascii="Garamond" w:hAnsi="Garamond"/>
          <w:sz w:val="24"/>
          <w:szCs w:val="24"/>
        </w:rPr>
        <w:t xml:space="preserve"> to observe first</w:t>
      </w:r>
      <w:r w:rsidR="008670A6">
        <w:rPr>
          <w:rFonts w:ascii="Garamond" w:hAnsi="Garamond"/>
          <w:sz w:val="24"/>
          <w:szCs w:val="24"/>
        </w:rPr>
        <w:t>-hand how the SOE is performing and</w:t>
      </w:r>
      <w:r w:rsidRPr="00EE7169">
        <w:rPr>
          <w:rFonts w:ascii="Garamond" w:hAnsi="Garamond"/>
          <w:sz w:val="24"/>
          <w:szCs w:val="24"/>
        </w:rPr>
        <w:t xml:space="preserve"> whether the SOE manager </w:t>
      </w:r>
      <w:r w:rsidR="008670A6">
        <w:rPr>
          <w:rFonts w:ascii="Garamond" w:hAnsi="Garamond"/>
          <w:sz w:val="24"/>
          <w:szCs w:val="24"/>
        </w:rPr>
        <w:t xml:space="preserve">is doing </w:t>
      </w:r>
      <w:r w:rsidRPr="00EE7169">
        <w:rPr>
          <w:rFonts w:ascii="Garamond" w:hAnsi="Garamond"/>
          <w:sz w:val="24"/>
          <w:szCs w:val="24"/>
        </w:rPr>
        <w:t xml:space="preserve">a good job. Anticipating better information by the oversight government, the SOE manager is also more likely to report honestly.  Indeed, Giround (2013) find that when the distance between headquarter and the subordinate plant is reduced exogenously (due to the introduction of a direct flight), the plant tends to obtain more investment and perform better. We thus predict that the </w:t>
      </w:r>
      <w:r w:rsidR="007C46F7">
        <w:rPr>
          <w:rFonts w:ascii="Garamond" w:hAnsi="Garamond" w:hint="eastAsia"/>
          <w:sz w:val="24"/>
          <w:szCs w:val="24"/>
        </w:rPr>
        <w:t>larger</w:t>
      </w:r>
      <w:r w:rsidR="007C46F7" w:rsidRPr="00EE7169">
        <w:rPr>
          <w:rFonts w:ascii="Garamond" w:hAnsi="Garamond"/>
          <w:sz w:val="24"/>
          <w:szCs w:val="24"/>
        </w:rPr>
        <w:t xml:space="preserve"> </w:t>
      </w:r>
      <w:r w:rsidRPr="00EE7169">
        <w:rPr>
          <w:rFonts w:ascii="Garamond" w:hAnsi="Garamond"/>
          <w:sz w:val="24"/>
          <w:szCs w:val="24"/>
        </w:rPr>
        <w:t>the distance between the oversight government and the SOE, the more likely the oversight government is to decentralize the SOE in order to improve the performance of the SOE.</w:t>
      </w:r>
    </w:p>
    <w:p w14:paraId="7CE7686C" w14:textId="59963A34" w:rsidR="00A2497E" w:rsidRPr="00EE7169" w:rsidRDefault="00A2497E" w:rsidP="00AC314F">
      <w:pPr>
        <w:spacing w:after="120" w:line="480" w:lineRule="auto"/>
        <w:ind w:firstLine="720"/>
        <w:rPr>
          <w:rFonts w:ascii="Garamond" w:hAnsi="Garamond"/>
          <w:sz w:val="24"/>
          <w:szCs w:val="24"/>
        </w:rPr>
      </w:pPr>
      <w:r w:rsidRPr="00EE7169">
        <w:rPr>
          <w:rFonts w:ascii="Garamond" w:hAnsi="Garamond"/>
          <w:i/>
          <w:sz w:val="24"/>
          <w:szCs w:val="24"/>
        </w:rPr>
        <w:t>Prediction 2</w:t>
      </w:r>
      <w:r w:rsidRPr="00EE7169">
        <w:rPr>
          <w:rFonts w:ascii="Garamond" w:hAnsi="Garamond"/>
          <w:sz w:val="24"/>
          <w:szCs w:val="24"/>
        </w:rPr>
        <w:t xml:space="preserve">. The </w:t>
      </w:r>
      <w:r w:rsidR="00002ED4">
        <w:rPr>
          <w:rFonts w:ascii="Garamond" w:hAnsi="Garamond" w:hint="eastAsia"/>
          <w:sz w:val="24"/>
          <w:szCs w:val="24"/>
        </w:rPr>
        <w:t>larger</w:t>
      </w:r>
      <w:r w:rsidR="00002ED4" w:rsidRPr="00EE7169">
        <w:rPr>
          <w:rFonts w:ascii="Garamond" w:hAnsi="Garamond"/>
          <w:sz w:val="24"/>
          <w:szCs w:val="24"/>
        </w:rPr>
        <w:t xml:space="preserve"> </w:t>
      </w:r>
      <w:r w:rsidRPr="00EE7169">
        <w:rPr>
          <w:rFonts w:ascii="Garamond" w:hAnsi="Garamond"/>
          <w:sz w:val="24"/>
          <w:szCs w:val="24"/>
        </w:rPr>
        <w:t>the distance between the oversight government and the SOE, the more likely the oversight government is to decentralize the SOE.</w:t>
      </w:r>
    </w:p>
    <w:p w14:paraId="549DED3F" w14:textId="7343B8D3"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But distance is a rather crude measure of information asymmetry. For the same distance between the firm and the government, the amount of information asymmetry depends on how much information is publicly available for the oversight government (Aghion et al. 2007), and the magnitude of communication costs (Bloom et al. 2009). Indeed, centralized control rely more on the information of the principal, and a good indicator for the information of the principal is public available </w:t>
      </w:r>
      <w:r w:rsidRPr="00EE7169">
        <w:rPr>
          <w:rFonts w:ascii="Garamond" w:hAnsi="Garamond"/>
          <w:sz w:val="24"/>
          <w:szCs w:val="24"/>
        </w:rPr>
        <w:lastRenderedPageBreak/>
        <w:t xml:space="preserve">information about similar technologies (Acemoglu </w:t>
      </w:r>
      <w:r w:rsidRPr="00EE7169">
        <w:rPr>
          <w:rFonts w:ascii="Garamond" w:hAnsi="Garamond"/>
          <w:i/>
          <w:sz w:val="24"/>
          <w:szCs w:val="24"/>
        </w:rPr>
        <w:t>et al.</w:t>
      </w:r>
      <w:r w:rsidRPr="00EE7169">
        <w:rPr>
          <w:rFonts w:ascii="Garamond" w:hAnsi="Garamond"/>
          <w:sz w:val="24"/>
          <w:szCs w:val="24"/>
        </w:rPr>
        <w:t xml:space="preserve"> 2007). When there is more uncertainty over firm performance by the principal, firm-specific local information is likely more important. In this case, oversight rights</w:t>
      </w:r>
      <w:r w:rsidR="00AF2FCB">
        <w:rPr>
          <w:rFonts w:ascii="Garamond" w:hAnsi="Garamond"/>
          <w:sz w:val="24"/>
          <w:szCs w:val="24"/>
        </w:rPr>
        <w:t xml:space="preserve"> should be given</w:t>
      </w:r>
      <w:r w:rsidRPr="00EE7169">
        <w:rPr>
          <w:rFonts w:ascii="Garamond" w:hAnsi="Garamond"/>
          <w:sz w:val="24"/>
          <w:szCs w:val="24"/>
        </w:rPr>
        <w:t xml:space="preserve"> to governments that are closer to firms (Hayek 1945). We thus </w:t>
      </w:r>
      <w:r w:rsidR="00E1488A">
        <w:rPr>
          <w:rFonts w:ascii="Garamond" w:hAnsi="Garamond"/>
          <w:sz w:val="24"/>
          <w:szCs w:val="24"/>
        </w:rPr>
        <w:t>conjecture</w:t>
      </w:r>
      <w:r w:rsidRPr="00EE7169">
        <w:rPr>
          <w:rFonts w:ascii="Garamond" w:hAnsi="Garamond"/>
          <w:sz w:val="24"/>
          <w:szCs w:val="24"/>
        </w:rPr>
        <w:t xml:space="preserve"> that the positive relationship between decentralization and distance would be stronger for firms with higher performance uncertainty. This is similar to the prediction in Acemoglu </w:t>
      </w:r>
      <w:r w:rsidRPr="00EE7169">
        <w:rPr>
          <w:rFonts w:ascii="Garamond" w:hAnsi="Garamond"/>
          <w:i/>
          <w:sz w:val="24"/>
          <w:szCs w:val="24"/>
        </w:rPr>
        <w:t>et al</w:t>
      </w:r>
      <w:r w:rsidRPr="00EE7169">
        <w:rPr>
          <w:rFonts w:ascii="Garamond" w:hAnsi="Garamond"/>
          <w:sz w:val="24"/>
          <w:szCs w:val="24"/>
        </w:rPr>
        <w:t xml:space="preserve">. (2007) that decentralization is more likely for firms located in a more heterogeneous environment, in which case learning from the experiences of others is more difficult.  </w:t>
      </w:r>
    </w:p>
    <w:p w14:paraId="49A36706" w14:textId="0822832E" w:rsidR="00A2497E" w:rsidRPr="00EE7169" w:rsidRDefault="00A2497E" w:rsidP="00AC314F">
      <w:pPr>
        <w:spacing w:after="120" w:line="480" w:lineRule="auto"/>
        <w:ind w:firstLine="720"/>
        <w:rPr>
          <w:rFonts w:ascii="Garamond" w:hAnsi="Garamond" w:cs="NewCenturySchlbk-Roman"/>
          <w:sz w:val="20"/>
          <w:szCs w:val="20"/>
        </w:rPr>
      </w:pPr>
      <w:r w:rsidRPr="00EE7169">
        <w:rPr>
          <w:rFonts w:ascii="Garamond" w:hAnsi="Garamond"/>
          <w:sz w:val="24"/>
          <w:szCs w:val="24"/>
        </w:rPr>
        <w:t>Similarly, whether or not to decentralize an organization should also depend on the cost of information acquisition (Bloom et al. 2012; Garicano and Rossi-Hansberg 2006; Giroud 2013). When communication costs between the SOE and its oversight government are lower, the principal faces less information asymmetry and can monitor more directly, and there may be less loss of information in the communication process between the principal and the agent. Thus, when communication costs are lower, the positive relationship between decentralization and distance should be smaller.</w:t>
      </w:r>
    </w:p>
    <w:p w14:paraId="1CB4228E" w14:textId="77777777" w:rsidR="00A2497E" w:rsidRPr="00EE7169" w:rsidRDefault="00A2497E" w:rsidP="00AC314F">
      <w:pPr>
        <w:spacing w:after="120" w:line="480" w:lineRule="auto"/>
        <w:ind w:firstLine="720"/>
        <w:rPr>
          <w:rFonts w:ascii="Garamond" w:hAnsi="Garamond"/>
          <w:sz w:val="24"/>
          <w:szCs w:val="24"/>
        </w:rPr>
      </w:pPr>
      <w:r w:rsidRPr="00EE7169">
        <w:rPr>
          <w:rFonts w:ascii="Garamond" w:hAnsi="Garamond"/>
          <w:i/>
          <w:sz w:val="24"/>
          <w:szCs w:val="24"/>
        </w:rPr>
        <w:t>Prediction 3</w:t>
      </w:r>
      <w:r w:rsidRPr="00EE7169">
        <w:rPr>
          <w:rFonts w:ascii="Garamond" w:hAnsi="Garamond"/>
          <w:sz w:val="24"/>
          <w:szCs w:val="24"/>
        </w:rPr>
        <w:t xml:space="preserve">. The positive relationship between decentralization and distance would be stronger for firms with higher performance uncertainty, and for firms facing greater communication costs.   </w:t>
      </w:r>
    </w:p>
    <w:p w14:paraId="4D01EC35" w14:textId="77777777" w:rsidR="00A2497E" w:rsidRPr="00EE7169" w:rsidRDefault="00A2497E" w:rsidP="00AC314F">
      <w:pPr>
        <w:spacing w:after="120" w:line="480" w:lineRule="auto"/>
        <w:rPr>
          <w:rFonts w:ascii="Garamond" w:hAnsi="Garamond"/>
          <w:b/>
          <w:sz w:val="24"/>
          <w:szCs w:val="24"/>
        </w:rPr>
      </w:pPr>
    </w:p>
    <w:p w14:paraId="5DCF7A5B" w14:textId="7299D31B" w:rsidR="00A2497E" w:rsidRPr="00EE7169" w:rsidRDefault="002B0D83" w:rsidP="00AC314F">
      <w:pPr>
        <w:pStyle w:val="ListParagraph"/>
        <w:numPr>
          <w:ilvl w:val="0"/>
          <w:numId w:val="12"/>
        </w:numPr>
        <w:spacing w:after="120" w:line="480" w:lineRule="auto"/>
        <w:ind w:firstLineChars="0"/>
        <w:rPr>
          <w:rFonts w:ascii="Garamond" w:hAnsi="Garamond"/>
          <w:b/>
          <w:sz w:val="24"/>
          <w:szCs w:val="24"/>
        </w:rPr>
      </w:pPr>
      <w:r>
        <w:rPr>
          <w:rFonts w:ascii="Garamond" w:hAnsi="Garamond"/>
          <w:b/>
          <w:sz w:val="24"/>
          <w:szCs w:val="24"/>
        </w:rPr>
        <w:t>Empirical Results</w:t>
      </w:r>
    </w:p>
    <w:p w14:paraId="7B95CB5F" w14:textId="77777777" w:rsidR="00A2497E" w:rsidRPr="00EE7169" w:rsidRDefault="00A2497E" w:rsidP="00AC314F">
      <w:pPr>
        <w:pStyle w:val="ListParagraph"/>
        <w:numPr>
          <w:ilvl w:val="1"/>
          <w:numId w:val="14"/>
        </w:numPr>
        <w:spacing w:after="120" w:line="480" w:lineRule="auto"/>
        <w:ind w:firstLineChars="0"/>
        <w:rPr>
          <w:rFonts w:ascii="Garamond" w:hAnsi="Garamond"/>
          <w:b/>
          <w:sz w:val="24"/>
          <w:szCs w:val="24"/>
        </w:rPr>
      </w:pPr>
      <w:r w:rsidRPr="00EE7169">
        <w:rPr>
          <w:rFonts w:ascii="Garamond" w:hAnsi="Garamond"/>
          <w:b/>
          <w:sz w:val="24"/>
          <w:szCs w:val="24"/>
        </w:rPr>
        <w:t xml:space="preserve">Data and Sample   </w:t>
      </w:r>
    </w:p>
    <w:p w14:paraId="3CA8054E" w14:textId="41175617" w:rsidR="00A2497E" w:rsidRPr="00EE7169" w:rsidRDefault="00A2497E" w:rsidP="00AC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rPr>
          <w:rFonts w:ascii="Garamond" w:hAnsi="Garamond"/>
          <w:sz w:val="24"/>
          <w:szCs w:val="24"/>
        </w:rPr>
      </w:pPr>
      <w:r w:rsidRPr="00EE7169">
        <w:rPr>
          <w:rFonts w:ascii="Garamond" w:hAnsi="Garamond"/>
          <w:sz w:val="24"/>
          <w:szCs w:val="24"/>
        </w:rPr>
        <w:t xml:space="preserve">The data we use is the Annual Survey of Industrial Firms (ASIF) of National Bureau of Statistics of China for 1998 to 2007. ASIF includes </w:t>
      </w:r>
      <w:r w:rsidRPr="00EE7169">
        <w:rPr>
          <w:rFonts w:ascii="Garamond" w:hAnsi="Garamond"/>
          <w:i/>
          <w:sz w:val="24"/>
          <w:szCs w:val="24"/>
        </w:rPr>
        <w:t>all</w:t>
      </w:r>
      <w:r w:rsidRPr="00EE7169">
        <w:rPr>
          <w:rFonts w:ascii="Garamond" w:hAnsi="Garamond"/>
          <w:sz w:val="24"/>
          <w:szCs w:val="24"/>
        </w:rPr>
        <w:t xml:space="preserve"> SOEs, and all non-state firms with sales exceeding </w:t>
      </w:r>
      <w:r w:rsidR="002B0D83">
        <w:rPr>
          <w:rFonts w:ascii="Garamond" w:hAnsi="Garamond"/>
          <w:sz w:val="24"/>
          <w:szCs w:val="24"/>
        </w:rPr>
        <w:t>five</w:t>
      </w:r>
      <w:r w:rsidRPr="00EE7169">
        <w:rPr>
          <w:rFonts w:ascii="Garamond" w:hAnsi="Garamond"/>
          <w:sz w:val="24"/>
          <w:szCs w:val="24"/>
        </w:rPr>
        <w:t xml:space="preserve"> million </w:t>
      </w:r>
      <w:r w:rsidRPr="00EE7169">
        <w:rPr>
          <w:rFonts w:ascii="Garamond" w:hAnsi="Garamond"/>
          <w:i/>
          <w:sz w:val="24"/>
          <w:szCs w:val="24"/>
        </w:rPr>
        <w:t>yuan</w:t>
      </w:r>
      <w:r w:rsidRPr="00EE7169">
        <w:rPr>
          <w:rFonts w:ascii="Garamond" w:hAnsi="Garamond"/>
          <w:sz w:val="24"/>
          <w:szCs w:val="24"/>
        </w:rPr>
        <w:t xml:space="preserve">. Since our research is on </w:t>
      </w:r>
      <w:r w:rsidR="002B0D83">
        <w:rPr>
          <w:rFonts w:ascii="Garamond" w:hAnsi="Garamond"/>
          <w:sz w:val="24"/>
          <w:szCs w:val="24"/>
        </w:rPr>
        <w:t>the</w:t>
      </w:r>
      <w:r w:rsidR="00CF33F0">
        <w:rPr>
          <w:rFonts w:ascii="Garamond" w:hAnsi="Garamond"/>
          <w:sz w:val="24"/>
          <w:szCs w:val="24"/>
        </w:rPr>
        <w:t xml:space="preserve"> </w:t>
      </w:r>
      <w:r w:rsidRPr="00EE7169">
        <w:rPr>
          <w:rFonts w:ascii="Garamond" w:hAnsi="Garamond"/>
          <w:sz w:val="24"/>
          <w:szCs w:val="24"/>
        </w:rPr>
        <w:t xml:space="preserve">decentralization of SOEs, we only keep the SOE sample </w:t>
      </w:r>
      <w:r w:rsidRPr="00EE7169">
        <w:rPr>
          <w:rFonts w:ascii="Garamond" w:hAnsi="Garamond"/>
          <w:sz w:val="24"/>
          <w:szCs w:val="24"/>
        </w:rPr>
        <w:lastRenderedPageBreak/>
        <w:t>(with share of state ownership exceeding 50%).</w:t>
      </w:r>
      <w:r w:rsidR="0033675D">
        <w:rPr>
          <w:rStyle w:val="FootnoteReference"/>
          <w:rFonts w:ascii="Garamond" w:hAnsi="Garamond"/>
          <w:sz w:val="24"/>
          <w:szCs w:val="24"/>
        </w:rPr>
        <w:footnoteReference w:id="9"/>
      </w:r>
      <w:r w:rsidRPr="00EE7169">
        <w:rPr>
          <w:rFonts w:ascii="Garamond" w:hAnsi="Garamond"/>
          <w:sz w:val="24"/>
          <w:szCs w:val="24"/>
        </w:rPr>
        <w:t xml:space="preserve"> We do no classify firm ownership based on a firm’s registered ownership type because some former SOEs do not change their registered ownership type after ownership restructuring (Dollar and Wei, 2007).</w:t>
      </w:r>
      <w:r w:rsidRPr="00EE7169">
        <w:rPr>
          <w:rStyle w:val="FootnoteReference"/>
          <w:rFonts w:ascii="Garamond" w:hAnsi="Garamond"/>
          <w:sz w:val="24"/>
          <w:szCs w:val="24"/>
        </w:rPr>
        <w:footnoteReference w:id="10"/>
      </w:r>
      <w:r w:rsidRPr="00EE7169">
        <w:rPr>
          <w:rFonts w:ascii="Garamond" w:hAnsi="Garamond"/>
          <w:sz w:val="24"/>
          <w:szCs w:val="24"/>
        </w:rPr>
        <w:t xml:space="preserve"> </w:t>
      </w:r>
    </w:p>
    <w:p w14:paraId="14E05CAD" w14:textId="5FC9EB42" w:rsidR="00A2497E" w:rsidRPr="00EE7169" w:rsidRDefault="00A2497E" w:rsidP="00AC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firstLineChars="300" w:firstLine="720"/>
        <w:rPr>
          <w:rFonts w:ascii="Garamond" w:hAnsi="Garamond"/>
          <w:sz w:val="24"/>
          <w:szCs w:val="24"/>
        </w:rPr>
      </w:pPr>
      <w:r w:rsidRPr="00EE7169">
        <w:rPr>
          <w:rFonts w:ascii="Garamond" w:hAnsi="Garamond"/>
          <w:sz w:val="24"/>
          <w:szCs w:val="24"/>
        </w:rPr>
        <w:t>The oversight government (for SOEs), from more centralized to more decentralized, can be the central, provincial, municipal (or prefecture), county, and township. We delete from our sample SOEs those observations that having missing or “others” values for the oversight variable (10133 firms). We further restrict our sample in the following ways. First, we delete those SOEs which lie at the bottom of the hierarchy: those firms whose oversight government is county or below (44905 firms). These SOEs by definition could not be further decentralized. Second, we drop those enterprises without at least three continuous years of data (22115 firms). Finally, we delete those enterprises whose oversight relationship had changed more than twice (470 firms). Our final sample consists of 14</w:t>
      </w:r>
      <w:r w:rsidR="002B0D83">
        <w:rPr>
          <w:rFonts w:ascii="Garamond" w:hAnsi="Garamond"/>
          <w:sz w:val="24"/>
          <w:szCs w:val="24"/>
        </w:rPr>
        <w:t>,</w:t>
      </w:r>
      <w:r w:rsidRPr="00EE7169">
        <w:rPr>
          <w:rFonts w:ascii="Garamond" w:hAnsi="Garamond"/>
          <w:sz w:val="24"/>
          <w:szCs w:val="24"/>
        </w:rPr>
        <w:t xml:space="preserve">420 SOEs.  </w:t>
      </w:r>
    </w:p>
    <w:p w14:paraId="7E501C6E" w14:textId="1ABF80E0" w:rsidR="00A2497E" w:rsidRPr="00EE7169" w:rsidRDefault="00A2497E" w:rsidP="00AC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480" w:lineRule="auto"/>
        <w:ind w:firstLineChars="300" w:firstLine="720"/>
        <w:rPr>
          <w:rFonts w:ascii="Garamond" w:hAnsi="Garamond"/>
          <w:sz w:val="24"/>
          <w:szCs w:val="24"/>
        </w:rPr>
      </w:pPr>
      <w:r w:rsidRPr="00EE7169">
        <w:rPr>
          <w:rFonts w:ascii="Garamond" w:hAnsi="Garamond"/>
          <w:sz w:val="24"/>
          <w:szCs w:val="24"/>
        </w:rPr>
        <w:t xml:space="preserve">Decentralization, our key variable, is defined as those firm-years that experience </w:t>
      </w:r>
      <w:r w:rsidR="008051AE">
        <w:rPr>
          <w:rFonts w:ascii="Garamond" w:hAnsi="Garamond"/>
          <w:sz w:val="24"/>
          <w:szCs w:val="24"/>
        </w:rPr>
        <w:t xml:space="preserve">a change in </w:t>
      </w:r>
      <w:r w:rsidRPr="00EE7169">
        <w:rPr>
          <w:rFonts w:ascii="Garamond" w:hAnsi="Garamond"/>
          <w:sz w:val="24"/>
          <w:szCs w:val="24"/>
        </w:rPr>
        <w:t>oversight government to a lower level. In 1998, the initial year of our sample, firms under the oversight of the central, provincial, and municipal governments account for 15.2%, 27.4%, and 57.3%, respectively (see Figure 2). In total, 1116 firms</w:t>
      </w:r>
      <w:r w:rsidR="008051AE">
        <w:rPr>
          <w:rFonts w:ascii="Garamond" w:hAnsi="Garamond"/>
          <w:sz w:val="24"/>
          <w:szCs w:val="24"/>
        </w:rPr>
        <w:t>, or 7.7% of the sample,</w:t>
      </w:r>
      <w:r w:rsidRPr="00EE7169">
        <w:rPr>
          <w:rFonts w:ascii="Garamond" w:hAnsi="Garamond"/>
          <w:sz w:val="24"/>
          <w:szCs w:val="24"/>
        </w:rPr>
        <w:t xml:space="preserve"> experience decentralization. Of these</w:t>
      </w:r>
      <w:r w:rsidR="008051AE">
        <w:rPr>
          <w:rFonts w:ascii="Garamond" w:hAnsi="Garamond"/>
          <w:sz w:val="24"/>
          <w:szCs w:val="24"/>
        </w:rPr>
        <w:t xml:space="preserve"> decentralized firms</w:t>
      </w:r>
      <w:r w:rsidRPr="00EE7169">
        <w:rPr>
          <w:rFonts w:ascii="Garamond" w:hAnsi="Garamond"/>
          <w:sz w:val="24"/>
          <w:szCs w:val="24"/>
        </w:rPr>
        <w:t xml:space="preserve">, there are 318 (14.5%), 384 (9.7%), and 414 (5.0%) firms whose original oversight government were the central, provincial and municipal governments, respectively.   </w:t>
      </w:r>
    </w:p>
    <w:p w14:paraId="625FA204" w14:textId="77777777" w:rsidR="00A2497E" w:rsidRPr="00EE7169" w:rsidRDefault="00A2497E" w:rsidP="00AC314F">
      <w:pPr>
        <w:spacing w:after="120" w:line="480" w:lineRule="auto"/>
        <w:rPr>
          <w:rFonts w:ascii="Garamond" w:hAnsi="Garamond"/>
          <w:b/>
          <w:sz w:val="24"/>
          <w:szCs w:val="24"/>
        </w:rPr>
      </w:pPr>
    </w:p>
    <w:p w14:paraId="09D76F9D" w14:textId="158D25C4" w:rsidR="00A2497E" w:rsidRPr="00EE7169" w:rsidRDefault="00A2497E" w:rsidP="00AC314F">
      <w:pPr>
        <w:spacing w:after="120" w:line="480" w:lineRule="auto"/>
        <w:rPr>
          <w:rFonts w:ascii="Garamond" w:hAnsi="Garamond"/>
          <w:b/>
          <w:sz w:val="24"/>
          <w:szCs w:val="24"/>
        </w:rPr>
      </w:pPr>
      <w:r w:rsidRPr="00EE7169">
        <w:rPr>
          <w:rFonts w:ascii="Garamond" w:hAnsi="Garamond"/>
          <w:b/>
          <w:sz w:val="24"/>
          <w:szCs w:val="24"/>
        </w:rPr>
        <w:t>3.2</w:t>
      </w:r>
      <w:r w:rsidR="008051AE">
        <w:rPr>
          <w:rFonts w:ascii="Garamond" w:hAnsi="Garamond"/>
          <w:b/>
          <w:sz w:val="24"/>
          <w:szCs w:val="24"/>
        </w:rPr>
        <w:t>.</w:t>
      </w:r>
      <w:r w:rsidRPr="00EE7169">
        <w:rPr>
          <w:rFonts w:ascii="Garamond" w:hAnsi="Garamond"/>
          <w:b/>
          <w:sz w:val="24"/>
          <w:szCs w:val="24"/>
        </w:rPr>
        <w:t xml:space="preserve"> Specification and Identification</w:t>
      </w:r>
      <w:r w:rsidR="008051AE">
        <w:rPr>
          <w:rFonts w:ascii="Garamond" w:hAnsi="Garamond"/>
          <w:b/>
          <w:sz w:val="24"/>
          <w:szCs w:val="24"/>
        </w:rPr>
        <w:t xml:space="preserve"> </w:t>
      </w:r>
    </w:p>
    <w:p w14:paraId="28E18CB0" w14:textId="77777777"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To examine what determines the likelihood of decentralization, we estimate the following equation:</w:t>
      </w:r>
    </w:p>
    <w:p w14:paraId="6FDF0DAF" w14:textId="77777777" w:rsidR="00A2497E" w:rsidRPr="00EE7169" w:rsidRDefault="00A2497E" w:rsidP="00AC314F">
      <w:pPr>
        <w:spacing w:after="120" w:line="480" w:lineRule="auto"/>
        <w:ind w:left="1680"/>
        <w:jc w:val="left"/>
        <w:rPr>
          <w:rFonts w:ascii="Garamond" w:hAnsi="Garamond"/>
          <w:sz w:val="24"/>
          <w:szCs w:val="24"/>
        </w:rPr>
      </w:pPr>
      <w:r w:rsidRPr="00EE7169">
        <w:rPr>
          <w:rFonts w:ascii="Garamond" w:hAnsi="Garamond"/>
          <w:i/>
          <w:sz w:val="24"/>
          <w:szCs w:val="24"/>
        </w:rPr>
        <w:t>Decen</w:t>
      </w:r>
      <w:r w:rsidRPr="00EE7169">
        <w:rPr>
          <w:rFonts w:ascii="Garamond" w:hAnsi="Garamond"/>
          <w:i/>
          <w:sz w:val="24"/>
          <w:szCs w:val="24"/>
          <w:vertAlign w:val="superscript"/>
        </w:rPr>
        <w:t>*</w:t>
      </w:r>
      <w:r w:rsidRPr="00EE7169">
        <w:rPr>
          <w:rFonts w:ascii="Garamond" w:hAnsi="Garamond"/>
          <w:i/>
          <w:sz w:val="24"/>
          <w:szCs w:val="24"/>
          <w:vertAlign w:val="subscript"/>
        </w:rPr>
        <w:t>ijkt</w:t>
      </w:r>
      <w:r w:rsidRPr="00EE7169">
        <w:rPr>
          <w:rFonts w:ascii="Garamond" w:hAnsi="Garamond"/>
          <w:i/>
          <w:sz w:val="24"/>
          <w:szCs w:val="24"/>
        </w:rPr>
        <w:t xml:space="preserve"> = Distance</w:t>
      </w:r>
      <w:r w:rsidRPr="00EE7169">
        <w:rPr>
          <w:rFonts w:ascii="Garamond" w:hAnsi="Garamond"/>
          <w:i/>
          <w:sz w:val="24"/>
          <w:szCs w:val="24"/>
          <w:vertAlign w:val="subscript"/>
        </w:rPr>
        <w:t xml:space="preserve">ik </w:t>
      </w:r>
      <w:r w:rsidRPr="00EE7169">
        <w:rPr>
          <w:rFonts w:ascii="Garamond" w:hAnsi="Garamond"/>
          <w:i/>
          <w:sz w:val="24"/>
          <w:szCs w:val="24"/>
        </w:rPr>
        <w:t>δ + X</w:t>
      </w:r>
      <w:r w:rsidRPr="00EE7169">
        <w:rPr>
          <w:rFonts w:ascii="Garamond" w:hAnsi="Garamond"/>
          <w:i/>
          <w:sz w:val="24"/>
          <w:szCs w:val="24"/>
          <w:vertAlign w:val="subscript"/>
        </w:rPr>
        <w:t>ijkt-1</w:t>
      </w:r>
      <w:r w:rsidRPr="00EE7169">
        <w:rPr>
          <w:rFonts w:ascii="Garamond" w:hAnsi="Garamond"/>
          <w:i/>
          <w:sz w:val="24"/>
          <w:szCs w:val="24"/>
        </w:rPr>
        <w:t>β</w:t>
      </w:r>
      <w:r w:rsidRPr="00EE7169">
        <w:rPr>
          <w:rFonts w:ascii="Garamond" w:hAnsi="Garamond"/>
          <w:sz w:val="24"/>
          <w:szCs w:val="24"/>
        </w:rPr>
        <w:t xml:space="preserve"> + </w:t>
      </w:r>
      <w:r w:rsidRPr="00EE7169">
        <w:rPr>
          <w:rFonts w:ascii="Garamond" w:hAnsi="Garamond"/>
          <w:i/>
          <w:sz w:val="24"/>
          <w:szCs w:val="24"/>
        </w:rPr>
        <w:t>Z</w:t>
      </w:r>
      <w:r w:rsidRPr="00EE7169">
        <w:rPr>
          <w:rFonts w:ascii="Garamond" w:hAnsi="Garamond"/>
          <w:i/>
          <w:sz w:val="24"/>
          <w:szCs w:val="24"/>
          <w:vertAlign w:val="subscript"/>
        </w:rPr>
        <w:t xml:space="preserve">t </w:t>
      </w:r>
      <w:r w:rsidRPr="00EE7169">
        <w:rPr>
          <w:rFonts w:ascii="Garamond" w:hAnsi="Garamond"/>
          <w:i/>
          <w:sz w:val="24"/>
          <w:szCs w:val="24"/>
        </w:rPr>
        <w:t>α</w:t>
      </w:r>
      <w:r w:rsidRPr="00EE7169">
        <w:rPr>
          <w:rFonts w:ascii="Garamond" w:hAnsi="Garamond"/>
          <w:sz w:val="24"/>
          <w:szCs w:val="24"/>
        </w:rPr>
        <w:t xml:space="preserve"> + </w:t>
      </w:r>
      <w:r w:rsidRPr="00EE7169">
        <w:rPr>
          <w:rFonts w:ascii="Garamond" w:hAnsi="Garamond"/>
          <w:i/>
          <w:sz w:val="24"/>
          <w:szCs w:val="24"/>
        </w:rPr>
        <w:t>γ</w:t>
      </w:r>
      <w:r w:rsidRPr="00EE7169">
        <w:rPr>
          <w:rFonts w:ascii="Garamond" w:hAnsi="Garamond"/>
          <w:i/>
          <w:sz w:val="24"/>
          <w:szCs w:val="24"/>
          <w:vertAlign w:val="subscript"/>
        </w:rPr>
        <w:t>t</w:t>
      </w:r>
      <w:r w:rsidRPr="00EE7169">
        <w:rPr>
          <w:rFonts w:ascii="Garamond" w:hAnsi="Garamond"/>
          <w:sz w:val="24"/>
          <w:szCs w:val="24"/>
        </w:rPr>
        <w:t xml:space="preserve"> +</w:t>
      </w:r>
      <w:r w:rsidRPr="00EE7169">
        <w:rPr>
          <w:rFonts w:ascii="Garamond" w:hAnsi="Garamond"/>
          <w:i/>
          <w:sz w:val="24"/>
          <w:szCs w:val="24"/>
        </w:rPr>
        <w:t xml:space="preserve"> ρ</w:t>
      </w:r>
      <w:r w:rsidRPr="00EE7169">
        <w:rPr>
          <w:rFonts w:ascii="Garamond" w:hAnsi="Garamond"/>
          <w:i/>
          <w:sz w:val="24"/>
          <w:szCs w:val="24"/>
          <w:vertAlign w:val="subscript"/>
        </w:rPr>
        <w:t>k</w:t>
      </w:r>
      <w:r w:rsidRPr="00EE7169">
        <w:rPr>
          <w:rFonts w:ascii="Garamond" w:hAnsi="Garamond"/>
          <w:sz w:val="24"/>
          <w:szCs w:val="24"/>
        </w:rPr>
        <w:t xml:space="preserve">+ </w:t>
      </w:r>
      <w:r w:rsidRPr="00EE7169">
        <w:rPr>
          <w:rFonts w:ascii="Garamond" w:hAnsi="Garamond"/>
          <w:i/>
          <w:sz w:val="24"/>
          <w:szCs w:val="24"/>
        </w:rPr>
        <w:t>θ</w:t>
      </w:r>
      <w:r w:rsidRPr="00EE7169">
        <w:rPr>
          <w:rFonts w:ascii="Garamond" w:hAnsi="Garamond"/>
          <w:i/>
          <w:sz w:val="24"/>
          <w:szCs w:val="24"/>
          <w:vertAlign w:val="subscript"/>
        </w:rPr>
        <w:t>j</w:t>
      </w:r>
      <w:r w:rsidRPr="00EE7169">
        <w:rPr>
          <w:rFonts w:ascii="Garamond" w:hAnsi="Garamond"/>
          <w:i/>
          <w:sz w:val="24"/>
          <w:szCs w:val="24"/>
        </w:rPr>
        <w:t xml:space="preserve"> </w:t>
      </w:r>
      <w:r w:rsidRPr="00EE7169">
        <w:rPr>
          <w:rFonts w:ascii="Garamond" w:hAnsi="Garamond"/>
          <w:sz w:val="24"/>
          <w:szCs w:val="24"/>
        </w:rPr>
        <w:t xml:space="preserve">+ </w:t>
      </w:r>
      <w:r w:rsidRPr="00EE7169">
        <w:rPr>
          <w:rFonts w:ascii="Garamond" w:hAnsi="Garamond"/>
          <w:i/>
          <w:sz w:val="24"/>
          <w:szCs w:val="24"/>
        </w:rPr>
        <w:t>ε</w:t>
      </w:r>
      <w:r w:rsidRPr="00EE7169">
        <w:rPr>
          <w:rFonts w:ascii="Garamond" w:hAnsi="Garamond"/>
          <w:i/>
          <w:sz w:val="24"/>
          <w:szCs w:val="24"/>
          <w:vertAlign w:val="subscript"/>
        </w:rPr>
        <w:t>ijkt</w:t>
      </w:r>
      <w:r w:rsidRPr="00EE7169">
        <w:rPr>
          <w:rFonts w:ascii="Garamond" w:hAnsi="Garamond"/>
          <w:sz w:val="24"/>
          <w:szCs w:val="24"/>
        </w:rPr>
        <w:t xml:space="preserve">, </w:t>
      </w:r>
    </w:p>
    <w:p w14:paraId="5B1CD2EE" w14:textId="38BF3722" w:rsidR="00A2497E" w:rsidRPr="00EE7169" w:rsidRDefault="00A2497E" w:rsidP="00AC314F">
      <w:pPr>
        <w:spacing w:after="120" w:line="480" w:lineRule="auto"/>
        <w:ind w:left="1680"/>
        <w:jc w:val="left"/>
        <w:rPr>
          <w:rFonts w:ascii="Garamond" w:hAnsi="Garamond"/>
          <w:i/>
          <w:sz w:val="24"/>
          <w:szCs w:val="24"/>
        </w:rPr>
      </w:pPr>
      <w:r w:rsidRPr="00EE7169">
        <w:rPr>
          <w:rFonts w:ascii="Garamond" w:hAnsi="Garamond"/>
          <w:i/>
          <w:sz w:val="24"/>
          <w:szCs w:val="24"/>
        </w:rPr>
        <w:t>Decen</w:t>
      </w:r>
      <w:r w:rsidRPr="00EE7169">
        <w:rPr>
          <w:rFonts w:ascii="Garamond" w:hAnsi="Garamond"/>
          <w:i/>
          <w:sz w:val="24"/>
          <w:szCs w:val="24"/>
          <w:vertAlign w:val="subscript"/>
        </w:rPr>
        <w:t>ijkt</w:t>
      </w:r>
      <w:r w:rsidRPr="00EE7169">
        <w:rPr>
          <w:rFonts w:ascii="Garamond" w:hAnsi="Garamond"/>
          <w:i/>
          <w:sz w:val="24"/>
          <w:szCs w:val="24"/>
        </w:rPr>
        <w:t xml:space="preserve"> = </w:t>
      </w:r>
      <w:r w:rsidRPr="00EE7169">
        <w:rPr>
          <w:rFonts w:ascii="Garamond" w:hAnsi="Garamond"/>
          <w:sz w:val="24"/>
          <w:szCs w:val="24"/>
        </w:rPr>
        <w:t xml:space="preserve">1 if </w:t>
      </w:r>
      <w:r w:rsidRPr="00EE7169">
        <w:rPr>
          <w:rFonts w:ascii="Garamond" w:hAnsi="Garamond"/>
          <w:i/>
          <w:sz w:val="24"/>
          <w:szCs w:val="24"/>
        </w:rPr>
        <w:t>Decen</w:t>
      </w:r>
      <w:r w:rsidRPr="00EE7169">
        <w:rPr>
          <w:rFonts w:ascii="Garamond" w:hAnsi="Garamond"/>
          <w:i/>
          <w:sz w:val="24"/>
          <w:szCs w:val="24"/>
          <w:vertAlign w:val="superscript"/>
        </w:rPr>
        <w:t>*</w:t>
      </w:r>
      <w:r w:rsidRPr="00EE7169">
        <w:rPr>
          <w:rFonts w:ascii="Garamond" w:hAnsi="Garamond"/>
          <w:i/>
          <w:sz w:val="24"/>
          <w:szCs w:val="24"/>
          <w:vertAlign w:val="subscript"/>
        </w:rPr>
        <w:t>ijkt</w:t>
      </w:r>
      <w:r w:rsidRPr="00EE7169">
        <w:rPr>
          <w:rFonts w:ascii="Garamond" w:hAnsi="Garamond"/>
          <w:i/>
          <w:sz w:val="24"/>
          <w:szCs w:val="24"/>
        </w:rPr>
        <w:t xml:space="preserve"> </w:t>
      </w:r>
      <w:r w:rsidRPr="00EE7169">
        <w:rPr>
          <w:rFonts w:ascii="Garamond" w:hAnsi="Garamond"/>
          <w:sz w:val="24"/>
          <w:szCs w:val="24"/>
        </w:rPr>
        <w:t>&gt; 0</w:t>
      </w:r>
      <w:r w:rsidRPr="00EE7169">
        <w:rPr>
          <w:rFonts w:ascii="Garamond" w:hAnsi="Garamond"/>
          <w:sz w:val="24"/>
          <w:szCs w:val="24"/>
        </w:rPr>
        <w:tab/>
        <w:t xml:space="preserve">               </w:t>
      </w:r>
      <w:r w:rsidR="00673351">
        <w:rPr>
          <w:rFonts w:ascii="Garamond" w:hAnsi="Garamond"/>
          <w:sz w:val="24"/>
          <w:szCs w:val="24"/>
        </w:rPr>
        <w:tab/>
      </w:r>
      <w:r w:rsidR="00673351">
        <w:rPr>
          <w:rFonts w:ascii="Garamond" w:hAnsi="Garamond"/>
          <w:sz w:val="24"/>
          <w:szCs w:val="24"/>
        </w:rPr>
        <w:tab/>
      </w:r>
      <w:r w:rsidR="00673351">
        <w:rPr>
          <w:rFonts w:ascii="Garamond" w:hAnsi="Garamond"/>
          <w:sz w:val="24"/>
          <w:szCs w:val="24"/>
        </w:rPr>
        <w:tab/>
      </w:r>
      <w:r w:rsidR="00673351">
        <w:rPr>
          <w:rFonts w:ascii="Garamond" w:hAnsi="Garamond"/>
          <w:sz w:val="24"/>
          <w:szCs w:val="24"/>
        </w:rPr>
        <w:tab/>
      </w:r>
      <w:r w:rsidRPr="00EE7169">
        <w:rPr>
          <w:rFonts w:ascii="Garamond" w:hAnsi="Garamond"/>
          <w:sz w:val="24"/>
          <w:szCs w:val="24"/>
        </w:rPr>
        <w:t>(1)</w:t>
      </w:r>
    </w:p>
    <w:p w14:paraId="7BD4E4ED" w14:textId="6CF039A0" w:rsidR="00A2497E" w:rsidRPr="00EE7169" w:rsidRDefault="00A2497E" w:rsidP="00AC314F">
      <w:pPr>
        <w:spacing w:after="120" w:line="480" w:lineRule="auto"/>
        <w:ind w:firstLineChars="295" w:firstLine="708"/>
        <w:rPr>
          <w:rFonts w:ascii="Garamond" w:hAnsi="Garamond"/>
          <w:sz w:val="24"/>
          <w:szCs w:val="24"/>
        </w:rPr>
      </w:pPr>
      <w:r w:rsidRPr="00EE7169">
        <w:rPr>
          <w:rFonts w:ascii="Garamond" w:hAnsi="Garamond"/>
          <w:sz w:val="24"/>
          <w:szCs w:val="24"/>
        </w:rPr>
        <w:t xml:space="preserve">Here, </w:t>
      </w:r>
      <w:r w:rsidRPr="00EE7169">
        <w:rPr>
          <w:rFonts w:ascii="Garamond" w:hAnsi="Garamond"/>
          <w:i/>
          <w:sz w:val="24"/>
          <w:szCs w:val="24"/>
        </w:rPr>
        <w:t>Decen</w:t>
      </w:r>
      <w:r w:rsidRPr="00EE7169">
        <w:rPr>
          <w:rFonts w:ascii="Garamond" w:hAnsi="Garamond"/>
          <w:i/>
          <w:sz w:val="24"/>
          <w:szCs w:val="24"/>
          <w:vertAlign w:val="superscript"/>
        </w:rPr>
        <w:t>*</w:t>
      </w:r>
      <w:r w:rsidRPr="00EE7169">
        <w:rPr>
          <w:rFonts w:ascii="Garamond" w:hAnsi="Garamond"/>
          <w:i/>
          <w:sz w:val="24"/>
          <w:szCs w:val="24"/>
          <w:vertAlign w:val="subscript"/>
        </w:rPr>
        <w:t>ijkt</w:t>
      </w:r>
      <w:r w:rsidRPr="00EE7169">
        <w:rPr>
          <w:rFonts w:ascii="Garamond" w:hAnsi="Garamond"/>
          <w:i/>
          <w:sz w:val="24"/>
          <w:szCs w:val="24"/>
        </w:rPr>
        <w:t xml:space="preserve"> </w:t>
      </w:r>
      <w:r w:rsidRPr="00EE7169">
        <w:rPr>
          <w:rFonts w:ascii="Garamond" w:hAnsi="Garamond"/>
          <w:sz w:val="24"/>
          <w:szCs w:val="24"/>
        </w:rPr>
        <w:t>is the index function for the tendency to get decentralized, and</w:t>
      </w:r>
      <w:r w:rsidRPr="00EE7169">
        <w:rPr>
          <w:rFonts w:ascii="Garamond" w:hAnsi="Garamond"/>
          <w:i/>
          <w:sz w:val="24"/>
          <w:szCs w:val="24"/>
        </w:rPr>
        <w:t xml:space="preserve"> Decen</w:t>
      </w:r>
      <w:r w:rsidRPr="00EE7169">
        <w:rPr>
          <w:rFonts w:ascii="Garamond" w:hAnsi="Garamond"/>
          <w:i/>
          <w:sz w:val="24"/>
          <w:szCs w:val="24"/>
          <w:vertAlign w:val="subscript"/>
        </w:rPr>
        <w:t>ijkt</w:t>
      </w:r>
      <w:r w:rsidRPr="00EE7169">
        <w:rPr>
          <w:rFonts w:ascii="Garamond" w:hAnsi="Garamond"/>
          <w:sz w:val="24"/>
          <w:szCs w:val="24"/>
        </w:rPr>
        <w:t xml:space="preserve"> is an indicator variable that equals one when the firm is decentralized. The subscripts </w:t>
      </w:r>
      <w:r w:rsidRPr="00EE7169">
        <w:rPr>
          <w:rFonts w:ascii="Garamond" w:hAnsi="Garamond"/>
          <w:i/>
          <w:sz w:val="24"/>
          <w:szCs w:val="24"/>
        </w:rPr>
        <w:t>i, j, k,</w:t>
      </w:r>
      <w:r w:rsidRPr="00EE7169">
        <w:rPr>
          <w:rFonts w:ascii="Garamond" w:hAnsi="Garamond"/>
          <w:sz w:val="24"/>
          <w:szCs w:val="24"/>
        </w:rPr>
        <w:t xml:space="preserve"> and</w:t>
      </w:r>
      <w:r w:rsidRPr="00EE7169">
        <w:rPr>
          <w:rFonts w:ascii="Garamond" w:hAnsi="Garamond"/>
          <w:i/>
          <w:sz w:val="24"/>
          <w:szCs w:val="24"/>
        </w:rPr>
        <w:t xml:space="preserve"> t</w:t>
      </w:r>
      <w:r w:rsidRPr="00EE7169">
        <w:rPr>
          <w:rFonts w:ascii="Garamond" w:hAnsi="Garamond"/>
          <w:sz w:val="24"/>
          <w:szCs w:val="24"/>
        </w:rPr>
        <w:t xml:space="preserve"> represent firm </w:t>
      </w:r>
      <w:r w:rsidRPr="00EE7169">
        <w:rPr>
          <w:rFonts w:ascii="Garamond" w:hAnsi="Garamond"/>
          <w:i/>
          <w:sz w:val="24"/>
          <w:szCs w:val="24"/>
        </w:rPr>
        <w:t xml:space="preserve">i </w:t>
      </w:r>
      <w:r w:rsidRPr="00EE7169">
        <w:rPr>
          <w:rFonts w:ascii="Garamond" w:hAnsi="Garamond"/>
          <w:sz w:val="24"/>
          <w:szCs w:val="24"/>
        </w:rPr>
        <w:t xml:space="preserve">in industry </w:t>
      </w:r>
      <w:r w:rsidRPr="00EE7169">
        <w:rPr>
          <w:rFonts w:ascii="Garamond" w:hAnsi="Garamond"/>
          <w:i/>
          <w:sz w:val="24"/>
          <w:szCs w:val="24"/>
        </w:rPr>
        <w:t>j</w:t>
      </w:r>
      <w:r w:rsidRPr="00EE7169">
        <w:rPr>
          <w:rFonts w:ascii="Garamond" w:hAnsi="Garamond"/>
          <w:sz w:val="24"/>
          <w:szCs w:val="24"/>
        </w:rPr>
        <w:t xml:space="preserve"> under the initial oversight government with level </w:t>
      </w:r>
      <w:r w:rsidRPr="00EE7169">
        <w:rPr>
          <w:rFonts w:ascii="Garamond" w:hAnsi="Garamond"/>
          <w:i/>
          <w:sz w:val="24"/>
          <w:szCs w:val="24"/>
        </w:rPr>
        <w:t>k</w:t>
      </w:r>
      <w:r w:rsidRPr="00EE7169">
        <w:rPr>
          <w:rFonts w:ascii="Garamond" w:hAnsi="Garamond"/>
          <w:sz w:val="24"/>
          <w:szCs w:val="24"/>
        </w:rPr>
        <w:t xml:space="preserve"> at year </w:t>
      </w:r>
      <w:r w:rsidRPr="00EE7169">
        <w:rPr>
          <w:rFonts w:ascii="Garamond" w:hAnsi="Garamond"/>
          <w:i/>
          <w:sz w:val="24"/>
          <w:szCs w:val="24"/>
        </w:rPr>
        <w:t>t</w:t>
      </w:r>
      <w:r w:rsidRPr="00EE7169">
        <w:rPr>
          <w:rFonts w:ascii="Garamond" w:hAnsi="Garamond"/>
          <w:sz w:val="24"/>
          <w:szCs w:val="24"/>
        </w:rPr>
        <w:t xml:space="preserve">. </w:t>
      </w:r>
      <w:r w:rsidRPr="00EE7169">
        <w:rPr>
          <w:rFonts w:ascii="Garamond" w:hAnsi="Garamond"/>
          <w:i/>
          <w:sz w:val="24"/>
          <w:szCs w:val="24"/>
        </w:rPr>
        <w:t>Distance</w:t>
      </w:r>
      <w:r w:rsidRPr="00EE7169">
        <w:rPr>
          <w:rFonts w:ascii="Garamond" w:hAnsi="Garamond"/>
          <w:i/>
          <w:sz w:val="24"/>
          <w:szCs w:val="24"/>
          <w:vertAlign w:val="subscript"/>
        </w:rPr>
        <w:t>ik</w:t>
      </w:r>
      <w:r w:rsidRPr="00EE7169">
        <w:rPr>
          <w:rFonts w:ascii="Garamond" w:hAnsi="Garamond"/>
          <w:sz w:val="24"/>
          <w:szCs w:val="24"/>
        </w:rPr>
        <w:t xml:space="preserve"> measures the logarithm of (one plus) the physical distance (in km) between firm </w:t>
      </w:r>
      <w:r w:rsidRPr="00EE7169">
        <w:rPr>
          <w:rFonts w:ascii="Garamond" w:hAnsi="Garamond"/>
          <w:i/>
          <w:sz w:val="24"/>
          <w:szCs w:val="24"/>
        </w:rPr>
        <w:t>i</w:t>
      </w:r>
      <w:r w:rsidRPr="00EE7169">
        <w:rPr>
          <w:rFonts w:ascii="Garamond" w:hAnsi="Garamond"/>
          <w:sz w:val="24"/>
          <w:szCs w:val="24"/>
        </w:rPr>
        <w:t xml:space="preserve"> and the city in which the initial oversight government is located. The constant is added to accommodate the fact that the distance could be zero. We obtain the distance based on GIS data. In some robustness checks, we also discretize the variable into an indicator variable of whether the oversight government and the firm are at the same city. The vector </w:t>
      </w:r>
      <w:r w:rsidRPr="00EE7169">
        <w:rPr>
          <w:rFonts w:ascii="Garamond" w:hAnsi="Garamond"/>
          <w:i/>
          <w:sz w:val="24"/>
          <w:szCs w:val="24"/>
        </w:rPr>
        <w:t xml:space="preserve">X </w:t>
      </w:r>
      <w:r w:rsidRPr="00EE7169">
        <w:rPr>
          <w:rFonts w:ascii="Garamond" w:hAnsi="Garamond"/>
          <w:sz w:val="24"/>
          <w:szCs w:val="24"/>
        </w:rPr>
        <w:t xml:space="preserve">includes once-lagged firm characteristics including firm size as measured by firm assets, performance (i.e, returns to sales, ROS), the importance of the firm to the oversight government (i.e., the ratio of the firm’s value added to the total value added of the firms in the same 2-digit industry and affiliated with the same oversight government), the dummy variable of full state ownership (i.e., 100 percent state ownership), and indicator variables for the SOE being governed by provincial and municipal governments (with the default being the centrally-governed SOE). The vector </w:t>
      </w:r>
      <w:r w:rsidRPr="00EE7169">
        <w:rPr>
          <w:rFonts w:ascii="Garamond" w:hAnsi="Garamond"/>
          <w:i/>
          <w:sz w:val="24"/>
          <w:szCs w:val="24"/>
        </w:rPr>
        <w:t>Z</w:t>
      </w:r>
      <w:r w:rsidRPr="00EE7169">
        <w:rPr>
          <w:rFonts w:ascii="Garamond" w:hAnsi="Garamond"/>
          <w:i/>
          <w:sz w:val="24"/>
          <w:szCs w:val="24"/>
          <w:vertAlign w:val="subscript"/>
        </w:rPr>
        <w:t>t</w:t>
      </w:r>
      <w:r w:rsidRPr="00EE7169">
        <w:rPr>
          <w:rFonts w:ascii="Garamond" w:hAnsi="Garamond"/>
          <w:sz w:val="24"/>
          <w:szCs w:val="24"/>
        </w:rPr>
        <w:t xml:space="preserve"> measures province-level variables including GDP per capita, unemployment rate, and the share of SOEs in urban employment. </w:t>
      </w:r>
      <w:r w:rsidR="005575FC" w:rsidRPr="00EE7169">
        <w:rPr>
          <w:rFonts w:ascii="Garamond" w:hAnsi="Garamond"/>
          <w:sz w:val="24"/>
          <w:szCs w:val="24"/>
        </w:rPr>
        <w:t>Importantly, we contro</w:t>
      </w:r>
      <w:r w:rsidR="003657AB">
        <w:rPr>
          <w:rFonts w:ascii="Garamond" w:hAnsi="Garamond"/>
          <w:sz w:val="24"/>
          <w:szCs w:val="24"/>
        </w:rPr>
        <w:t xml:space="preserve">l for </w:t>
      </w:r>
      <w:r w:rsidR="00AF2FCB">
        <w:rPr>
          <w:rFonts w:ascii="Garamond" w:hAnsi="Garamond"/>
          <w:sz w:val="24"/>
          <w:szCs w:val="24"/>
        </w:rPr>
        <w:t xml:space="preserve">dummy </w:t>
      </w:r>
      <w:r w:rsidR="003657AB">
        <w:rPr>
          <w:rFonts w:ascii="Garamond" w:hAnsi="Garamond"/>
          <w:sz w:val="24"/>
          <w:szCs w:val="24"/>
        </w:rPr>
        <w:t>variables indicating</w:t>
      </w:r>
      <w:r w:rsidR="005575FC" w:rsidRPr="00EE7169">
        <w:rPr>
          <w:rFonts w:ascii="Garamond" w:hAnsi="Garamond"/>
          <w:sz w:val="24"/>
          <w:szCs w:val="24"/>
        </w:rPr>
        <w:t xml:space="preserve"> the initial oversight level of the SOE</w:t>
      </w:r>
      <w:r w:rsidR="00002ED4">
        <w:rPr>
          <w:rFonts w:ascii="Garamond" w:hAnsi="Garamond" w:hint="eastAsia"/>
          <w:sz w:val="24"/>
          <w:szCs w:val="24"/>
        </w:rPr>
        <w:t xml:space="preserve"> to </w:t>
      </w:r>
      <w:r w:rsidR="00002ED4">
        <w:rPr>
          <w:rFonts w:ascii="Garamond" w:hAnsi="Garamond"/>
          <w:sz w:val="24"/>
          <w:szCs w:val="24"/>
        </w:rPr>
        <w:t>hold</w:t>
      </w:r>
      <w:r w:rsidR="00002ED4" w:rsidRPr="00EE7169">
        <w:rPr>
          <w:rFonts w:ascii="Garamond" w:hAnsi="Garamond"/>
          <w:sz w:val="24"/>
          <w:szCs w:val="24"/>
        </w:rPr>
        <w:t xml:space="preserve"> constant oversight-specific tendency to decentralize. </w:t>
      </w:r>
      <w:r w:rsidR="00002ED4">
        <w:rPr>
          <w:rFonts w:ascii="Garamond" w:hAnsi="Garamond" w:hint="eastAsia"/>
          <w:sz w:val="24"/>
          <w:szCs w:val="24"/>
        </w:rPr>
        <w:t>In our sample, the oversight government of a</w:t>
      </w:r>
      <w:r w:rsidR="005904DD">
        <w:rPr>
          <w:rFonts w:ascii="Garamond" w:hAnsi="Garamond" w:hint="eastAsia"/>
          <w:sz w:val="24"/>
          <w:szCs w:val="24"/>
        </w:rPr>
        <w:t>n</w:t>
      </w:r>
      <w:r w:rsidR="00002ED4">
        <w:rPr>
          <w:rFonts w:ascii="Garamond" w:hAnsi="Garamond" w:hint="eastAsia"/>
          <w:sz w:val="24"/>
          <w:szCs w:val="24"/>
        </w:rPr>
        <w:t xml:space="preserve"> SOE could be the central </w:t>
      </w:r>
      <w:r w:rsidR="00002ED4">
        <w:rPr>
          <w:rFonts w:ascii="Garamond" w:hAnsi="Garamond"/>
          <w:sz w:val="24"/>
          <w:szCs w:val="24"/>
        </w:rPr>
        <w:t>government</w:t>
      </w:r>
      <w:r w:rsidR="00002ED4">
        <w:rPr>
          <w:rFonts w:ascii="Garamond" w:hAnsi="Garamond" w:hint="eastAsia"/>
          <w:sz w:val="24"/>
          <w:szCs w:val="24"/>
        </w:rPr>
        <w:t>, one of the 31 provincial governments, or one of the 331 municipal governments</w:t>
      </w:r>
      <w:r w:rsidR="00504817">
        <w:rPr>
          <w:rFonts w:ascii="Garamond" w:hAnsi="Garamond"/>
          <w:sz w:val="24"/>
          <w:szCs w:val="24"/>
        </w:rPr>
        <w:t>; t</w:t>
      </w:r>
      <w:r w:rsidR="00002ED4">
        <w:rPr>
          <w:rFonts w:ascii="Garamond" w:hAnsi="Garamond" w:hint="eastAsia"/>
          <w:sz w:val="24"/>
          <w:szCs w:val="24"/>
        </w:rPr>
        <w:t xml:space="preserve">here are 363 oversight </w:t>
      </w:r>
      <w:r w:rsidR="00002ED4">
        <w:rPr>
          <w:rFonts w:ascii="Garamond" w:hAnsi="Garamond" w:hint="eastAsia"/>
          <w:sz w:val="24"/>
          <w:szCs w:val="24"/>
        </w:rPr>
        <w:lastRenderedPageBreak/>
        <w:t>government dummies in total</w:t>
      </w:r>
      <w:r w:rsidR="005575FC" w:rsidRPr="00EE7169">
        <w:rPr>
          <w:rFonts w:ascii="Garamond" w:hAnsi="Garamond"/>
          <w:sz w:val="24"/>
          <w:szCs w:val="24"/>
        </w:rPr>
        <w:t xml:space="preserve">. </w:t>
      </w:r>
      <w:r w:rsidRPr="00EE7169">
        <w:rPr>
          <w:rFonts w:ascii="Garamond" w:hAnsi="Garamond"/>
          <w:sz w:val="24"/>
          <w:szCs w:val="24"/>
        </w:rPr>
        <w:t>We also control for industry and year dummies. To allow for correlation of the error term both across time and space, we cluster our standard errors at the level of initial oversight government.</w:t>
      </w:r>
      <w:r w:rsidR="005575FC" w:rsidRPr="00EE7169">
        <w:rPr>
          <w:rFonts w:ascii="Garamond" w:hAnsi="Garamond"/>
          <w:sz w:val="24"/>
          <w:szCs w:val="24"/>
        </w:rPr>
        <w:t xml:space="preserve">  </w:t>
      </w:r>
    </w:p>
    <w:p w14:paraId="315F4A97" w14:textId="1A8F19CF"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 xml:space="preserve">Since the decentralization decision is irreversible—at least in our sample period—we delete those </w:t>
      </w:r>
      <w:r w:rsidR="00AF2FCB">
        <w:rPr>
          <w:rFonts w:ascii="Garamond" w:hAnsi="Garamond"/>
          <w:sz w:val="24"/>
          <w:szCs w:val="24"/>
        </w:rPr>
        <w:t>observations</w:t>
      </w:r>
      <w:r w:rsidR="00AF2FCB" w:rsidRPr="00EE7169">
        <w:rPr>
          <w:rFonts w:ascii="Garamond" w:hAnsi="Garamond"/>
          <w:sz w:val="24"/>
          <w:szCs w:val="24"/>
        </w:rPr>
        <w:t xml:space="preserve"> </w:t>
      </w:r>
      <w:r w:rsidRPr="00EE7169">
        <w:rPr>
          <w:rFonts w:ascii="Garamond" w:hAnsi="Garamond"/>
          <w:sz w:val="24"/>
          <w:szCs w:val="24"/>
        </w:rPr>
        <w:t xml:space="preserve">after </w:t>
      </w:r>
      <w:r w:rsidRPr="00EE7169">
        <w:rPr>
          <w:rFonts w:ascii="Garamond" w:hAnsi="Garamond"/>
          <w:i/>
          <w:sz w:val="24"/>
          <w:szCs w:val="24"/>
        </w:rPr>
        <w:t>Decen</w:t>
      </w:r>
      <w:r w:rsidRPr="00EE7169">
        <w:rPr>
          <w:rFonts w:ascii="Garamond" w:hAnsi="Garamond"/>
          <w:sz w:val="24"/>
          <w:szCs w:val="24"/>
        </w:rPr>
        <w:t xml:space="preserve"> has turned one. Our parameter of interest is the marginal effect of Distance. Its estimate is based on the comparison between SOEs with </w:t>
      </w:r>
      <w:r w:rsidR="00236021">
        <w:rPr>
          <w:rFonts w:ascii="Garamond" w:hAnsi="Garamond"/>
          <w:sz w:val="24"/>
          <w:szCs w:val="24"/>
        </w:rPr>
        <w:t>different</w:t>
      </w:r>
      <w:r w:rsidRPr="00EE7169">
        <w:rPr>
          <w:rFonts w:ascii="Garamond" w:hAnsi="Garamond"/>
          <w:sz w:val="24"/>
          <w:szCs w:val="24"/>
        </w:rPr>
        <w:t xml:space="preserve"> distance</w:t>
      </w:r>
      <w:r w:rsidR="00236021">
        <w:rPr>
          <w:rFonts w:ascii="Garamond" w:hAnsi="Garamond"/>
          <w:sz w:val="24"/>
          <w:szCs w:val="24"/>
        </w:rPr>
        <w:t>s</w:t>
      </w:r>
      <w:r w:rsidRPr="00EE7169">
        <w:rPr>
          <w:rFonts w:ascii="Garamond" w:hAnsi="Garamond"/>
          <w:sz w:val="24"/>
          <w:szCs w:val="24"/>
        </w:rPr>
        <w:t xml:space="preserve"> to the original oversight government.   </w:t>
      </w:r>
    </w:p>
    <w:p w14:paraId="2FBD4B50" w14:textId="43650818"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The probit or linear probability models assume that the distance is exogenous. However, the distance could be endogenous for decentralization decisions. For instance, unimportant or less profitable SOEs may be systematically located further. We try several ways to deal with this. First, we control for variables that capture key confounding factors, such as the SOE’s importance and lagged firm performance. Second, for central SOEs, the distance to the oversight government means the distance to Beijing, a major metropolitan area and agglomeration center. For SOEs under the oversight of other level of governments, the distance to</w:t>
      </w:r>
      <w:r w:rsidR="005904DD">
        <w:rPr>
          <w:rFonts w:ascii="Garamond" w:hAnsi="Garamond" w:hint="eastAsia"/>
          <w:sz w:val="24"/>
          <w:szCs w:val="24"/>
        </w:rPr>
        <w:t xml:space="preserve"> the </w:t>
      </w:r>
      <w:r w:rsidR="00451518">
        <w:rPr>
          <w:rFonts w:ascii="Garamond" w:hAnsi="Garamond"/>
          <w:sz w:val="24"/>
          <w:szCs w:val="24"/>
        </w:rPr>
        <w:t xml:space="preserve">oversight government is also </w:t>
      </w:r>
      <w:r w:rsidR="005904DD">
        <w:rPr>
          <w:rFonts w:ascii="Garamond" w:hAnsi="Garamond" w:hint="eastAsia"/>
          <w:sz w:val="24"/>
          <w:szCs w:val="24"/>
        </w:rPr>
        <w:t>the distance to</w:t>
      </w:r>
      <w:r w:rsidRPr="00EE7169">
        <w:rPr>
          <w:rFonts w:ascii="Garamond" w:hAnsi="Garamond"/>
          <w:sz w:val="24"/>
          <w:szCs w:val="24"/>
        </w:rPr>
        <w:t xml:space="preserve"> a local agglomeration center.  Would this measure of the distance to political centers then merely captures economy of agglomeration rather than information and monitoring difficulties for the principal? To check this, we replace the distance to the oversight government in the following way: for central SOEs, the distance</w:t>
      </w:r>
      <w:r w:rsidR="00451518">
        <w:rPr>
          <w:rFonts w:ascii="Garamond" w:hAnsi="Garamond"/>
          <w:sz w:val="24"/>
          <w:szCs w:val="24"/>
        </w:rPr>
        <w:t xml:space="preserve"> to the oversight government</w:t>
      </w:r>
      <w:r w:rsidRPr="00EE7169">
        <w:rPr>
          <w:rFonts w:ascii="Garamond" w:hAnsi="Garamond"/>
          <w:sz w:val="24"/>
          <w:szCs w:val="24"/>
        </w:rPr>
        <w:t xml:space="preserve"> is </w:t>
      </w:r>
      <w:r w:rsidR="00451518">
        <w:rPr>
          <w:rFonts w:ascii="Garamond" w:hAnsi="Garamond"/>
          <w:sz w:val="24"/>
          <w:szCs w:val="24"/>
        </w:rPr>
        <w:t>replaced by</w:t>
      </w:r>
      <w:r w:rsidRPr="00EE7169">
        <w:rPr>
          <w:rFonts w:ascii="Garamond" w:hAnsi="Garamond"/>
          <w:sz w:val="24"/>
          <w:szCs w:val="24"/>
        </w:rPr>
        <w:t xml:space="preserve"> the distance to Shanghai, another metropolitan center as important as Beijing in terms of </w:t>
      </w:r>
      <w:r w:rsidR="003657AB">
        <w:rPr>
          <w:rFonts w:ascii="Garamond" w:hAnsi="Garamond"/>
          <w:sz w:val="24"/>
          <w:szCs w:val="24"/>
        </w:rPr>
        <w:t xml:space="preserve">economic </w:t>
      </w:r>
      <w:r w:rsidRPr="00EE7169">
        <w:rPr>
          <w:rFonts w:ascii="Garamond" w:hAnsi="Garamond"/>
          <w:sz w:val="24"/>
          <w:szCs w:val="24"/>
        </w:rPr>
        <w:t xml:space="preserve">agglomeration; for provincial SOEs, to the largest city within the province other than the provincial capital; for </w:t>
      </w:r>
      <w:r w:rsidR="007E7CEB">
        <w:rPr>
          <w:rFonts w:ascii="Garamond" w:hAnsi="Garamond" w:hint="eastAsia"/>
          <w:sz w:val="24"/>
          <w:szCs w:val="24"/>
        </w:rPr>
        <w:t>municipal</w:t>
      </w:r>
      <w:r w:rsidRPr="00EE7169">
        <w:rPr>
          <w:rFonts w:ascii="Garamond" w:hAnsi="Garamond"/>
          <w:sz w:val="24"/>
          <w:szCs w:val="24"/>
        </w:rPr>
        <w:t xml:space="preserve"> SOEs, to the largest county-level city within the prefecture other than the prefecture seat.</w:t>
      </w:r>
      <w:r w:rsidRPr="00EE7169">
        <w:rPr>
          <w:rStyle w:val="FootnoteReference"/>
          <w:rFonts w:ascii="Garamond" w:hAnsi="Garamond"/>
          <w:sz w:val="24"/>
          <w:szCs w:val="24"/>
        </w:rPr>
        <w:footnoteReference w:id="11"/>
      </w:r>
      <w:r w:rsidRPr="00EE7169">
        <w:rPr>
          <w:rFonts w:ascii="Garamond" w:hAnsi="Garamond"/>
          <w:sz w:val="24"/>
          <w:szCs w:val="24"/>
        </w:rPr>
        <w:t xml:space="preserve"> If the distance measure merely captures agglomeration effect, we expect this placebo distance to be significant and of similar </w:t>
      </w:r>
      <w:r w:rsidRPr="00EE7169">
        <w:rPr>
          <w:rFonts w:ascii="Garamond" w:hAnsi="Garamond"/>
          <w:sz w:val="24"/>
          <w:szCs w:val="24"/>
        </w:rPr>
        <w:lastRenderedPageBreak/>
        <w:t xml:space="preserve">magnitudes.  </w:t>
      </w:r>
    </w:p>
    <w:p w14:paraId="0BFF0858" w14:textId="15F45398"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Third, we deal with the possibility that the distance is endogenous. Even after controlling for prominent determinants of decentralization, governments may still put better SOEs at nearby locations. Then the distance may represent something else rather than the quality of information or monitoring intensity. To deal with this concern, we rely on an instrumental variable that likely captures exogenous variations in the distance of a</w:t>
      </w:r>
      <w:r w:rsidR="005904DD">
        <w:rPr>
          <w:rFonts w:ascii="Garamond" w:hAnsi="Garamond" w:hint="eastAsia"/>
          <w:sz w:val="24"/>
          <w:szCs w:val="24"/>
        </w:rPr>
        <w:t>n</w:t>
      </w:r>
      <w:r w:rsidRPr="00EE7169">
        <w:rPr>
          <w:rFonts w:ascii="Garamond" w:hAnsi="Garamond"/>
          <w:sz w:val="24"/>
          <w:szCs w:val="24"/>
        </w:rPr>
        <w:t xml:space="preserve"> SOE to the oversight government. In particular, during the 1960s and 1970s, worried about potential wars (even nuclear ones) with Soviet Union and United States, China relocated many SOEs to her hinterland. This</w:t>
      </w:r>
      <w:r w:rsidR="003657AB">
        <w:rPr>
          <w:rFonts w:ascii="Garamond" w:hAnsi="Garamond"/>
          <w:sz w:val="24"/>
          <w:szCs w:val="24"/>
        </w:rPr>
        <w:t xml:space="preserve"> migration of firms</w:t>
      </w:r>
      <w:r w:rsidRPr="00EE7169">
        <w:rPr>
          <w:rFonts w:ascii="Garamond" w:hAnsi="Garamond"/>
          <w:sz w:val="24"/>
          <w:szCs w:val="24"/>
        </w:rPr>
        <w:t xml:space="preserve"> is called the Third Front Construction program (for details, see Appendix D). </w:t>
      </w:r>
      <w:r w:rsidR="003657AB">
        <w:rPr>
          <w:rFonts w:ascii="Garamond" w:hAnsi="Garamond"/>
          <w:sz w:val="24"/>
          <w:szCs w:val="24"/>
        </w:rPr>
        <w:t>Third Front Construction covered</w:t>
      </w:r>
      <w:r w:rsidRPr="00EE7169">
        <w:rPr>
          <w:rFonts w:ascii="Garamond" w:hAnsi="Garamond"/>
          <w:sz w:val="24"/>
          <w:szCs w:val="24"/>
        </w:rPr>
        <w:t xml:space="preserve"> a large area in China (see Figure 3). The relocation sites were chosen to be far away from external threat, and it is implausible that it would affect SOE decentralization 30 to 40 years later when leadership had changed multiple times with the new leaders featuring distinct objectives. Because the Third Front Construction was a large program that covered 13 provinces, and 6.9% of firms in our sample were affiliated with this program, this instrument is likely a relevant one for the distance variable.    </w:t>
      </w:r>
    </w:p>
    <w:p w14:paraId="51EFC7FF" w14:textId="297F6665" w:rsidR="00A2497E" w:rsidRPr="00EE7169" w:rsidRDefault="00A2497E" w:rsidP="00AC314F">
      <w:pPr>
        <w:spacing w:after="120" w:line="480" w:lineRule="auto"/>
        <w:ind w:firstLine="720"/>
        <w:rPr>
          <w:rFonts w:ascii="Garamond" w:hAnsi="Garamond"/>
          <w:sz w:val="24"/>
          <w:szCs w:val="24"/>
        </w:rPr>
      </w:pPr>
      <w:r w:rsidRPr="00EE7169">
        <w:rPr>
          <w:rFonts w:ascii="Garamond" w:hAnsi="Garamond"/>
          <w:sz w:val="24"/>
          <w:szCs w:val="24"/>
        </w:rPr>
        <w:t>Finally, we try to shed light on the mechanisms of how distance affects decentralization</w:t>
      </w:r>
      <w:r w:rsidR="00236021">
        <w:rPr>
          <w:rFonts w:ascii="Garamond" w:hAnsi="Garamond"/>
          <w:sz w:val="24"/>
          <w:szCs w:val="24"/>
        </w:rPr>
        <w:t xml:space="preserve">. In particular, we </w:t>
      </w:r>
      <w:r w:rsidRPr="00EE7169">
        <w:rPr>
          <w:rFonts w:ascii="Garamond" w:hAnsi="Garamond"/>
          <w:sz w:val="24"/>
          <w:szCs w:val="24"/>
        </w:rPr>
        <w:t xml:space="preserve">allow the effect of distance on decentralization to differ by communication costs and information available to the oversight government on firms. These results would </w:t>
      </w:r>
      <w:r w:rsidR="00236021">
        <w:rPr>
          <w:rFonts w:ascii="Garamond" w:hAnsi="Garamond"/>
          <w:sz w:val="24"/>
          <w:szCs w:val="24"/>
        </w:rPr>
        <w:t>shed light on</w:t>
      </w:r>
      <w:r w:rsidR="00236021" w:rsidRPr="00EE7169">
        <w:rPr>
          <w:rFonts w:ascii="Garamond" w:hAnsi="Garamond"/>
          <w:sz w:val="24"/>
          <w:szCs w:val="24"/>
        </w:rPr>
        <w:t xml:space="preserve"> </w:t>
      </w:r>
      <w:r w:rsidRPr="00EE7169">
        <w:rPr>
          <w:rFonts w:ascii="Garamond" w:hAnsi="Garamond"/>
          <w:sz w:val="24"/>
          <w:szCs w:val="24"/>
        </w:rPr>
        <w:t>potential pathways for distance to affect decentralization.</w:t>
      </w:r>
    </w:p>
    <w:p w14:paraId="76D86C08" w14:textId="77777777" w:rsidR="00A2497E" w:rsidRPr="00EE7169" w:rsidRDefault="00A2497E" w:rsidP="00AC314F">
      <w:pPr>
        <w:spacing w:after="120" w:line="480" w:lineRule="auto"/>
        <w:rPr>
          <w:rFonts w:ascii="Garamond" w:hAnsi="Garamond"/>
          <w:b/>
          <w:sz w:val="24"/>
          <w:szCs w:val="24"/>
        </w:rPr>
      </w:pPr>
    </w:p>
    <w:p w14:paraId="67B56C69" w14:textId="337B20A3" w:rsidR="00A2497E" w:rsidRPr="00EE7169" w:rsidRDefault="00A2497E" w:rsidP="00AC314F">
      <w:pPr>
        <w:spacing w:after="120" w:line="480" w:lineRule="auto"/>
        <w:rPr>
          <w:rFonts w:ascii="Garamond" w:hAnsi="Garamond"/>
          <w:b/>
          <w:sz w:val="24"/>
          <w:szCs w:val="24"/>
        </w:rPr>
      </w:pPr>
      <w:r w:rsidRPr="00EE7169">
        <w:rPr>
          <w:rFonts w:ascii="Garamond" w:hAnsi="Garamond"/>
          <w:b/>
          <w:sz w:val="24"/>
          <w:szCs w:val="24"/>
        </w:rPr>
        <w:t>3.3</w:t>
      </w:r>
      <w:r w:rsidR="000202CF">
        <w:rPr>
          <w:rFonts w:ascii="Garamond" w:hAnsi="Garamond"/>
          <w:b/>
          <w:sz w:val="24"/>
          <w:szCs w:val="24"/>
        </w:rPr>
        <w:t>.</w:t>
      </w:r>
      <w:r w:rsidRPr="00EE7169">
        <w:rPr>
          <w:rFonts w:ascii="Garamond" w:hAnsi="Garamond"/>
          <w:b/>
          <w:sz w:val="24"/>
          <w:szCs w:val="24"/>
        </w:rPr>
        <w:t xml:space="preserve"> Baseline Results</w:t>
      </w:r>
      <w:r w:rsidR="003657AB">
        <w:rPr>
          <w:rFonts w:ascii="Garamond" w:hAnsi="Garamond"/>
          <w:b/>
          <w:sz w:val="24"/>
          <w:szCs w:val="24"/>
        </w:rPr>
        <w:t xml:space="preserve"> </w:t>
      </w:r>
    </w:p>
    <w:p w14:paraId="360CDB93" w14:textId="00F3649E"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We first</w:t>
      </w:r>
      <w:r w:rsidR="000202CF">
        <w:rPr>
          <w:rFonts w:ascii="Garamond" w:hAnsi="Garamond"/>
          <w:sz w:val="24"/>
          <w:szCs w:val="24"/>
        </w:rPr>
        <w:t>, in Table 2,</w:t>
      </w:r>
      <w:r w:rsidRPr="00EE7169">
        <w:rPr>
          <w:rFonts w:ascii="Garamond" w:hAnsi="Garamond"/>
          <w:sz w:val="24"/>
          <w:szCs w:val="24"/>
        </w:rPr>
        <w:t xml:space="preserve"> compare how decentralized and non-decentralized SOEs differ in basic characteristics. Relative to non-decentralized SOEs, the decentralized ones are much more likely to be in different cities from the oversight governments (59% vs. 30%), their logarithm of distance to the </w:t>
      </w:r>
      <w:r w:rsidRPr="00EE7169">
        <w:rPr>
          <w:rFonts w:ascii="Garamond" w:hAnsi="Garamond"/>
          <w:sz w:val="24"/>
          <w:szCs w:val="24"/>
        </w:rPr>
        <w:lastRenderedPageBreak/>
        <w:t xml:space="preserve">oversight government is much </w:t>
      </w:r>
      <w:r w:rsidR="000202CF">
        <w:rPr>
          <w:rFonts w:ascii="Garamond" w:hAnsi="Garamond"/>
          <w:sz w:val="24"/>
          <w:szCs w:val="24"/>
        </w:rPr>
        <w:t>larger</w:t>
      </w:r>
      <w:r w:rsidRPr="00EE7169">
        <w:rPr>
          <w:rFonts w:ascii="Garamond" w:hAnsi="Garamond"/>
          <w:sz w:val="24"/>
          <w:szCs w:val="24"/>
        </w:rPr>
        <w:t xml:space="preserve"> (4.4 vs. 3.0), their </w:t>
      </w:r>
      <w:r w:rsidR="000202CF">
        <w:rPr>
          <w:rFonts w:ascii="Garamond" w:hAnsi="Garamond"/>
          <w:sz w:val="24"/>
          <w:szCs w:val="24"/>
        </w:rPr>
        <w:t xml:space="preserve">average </w:t>
      </w:r>
      <w:r w:rsidRPr="00EE7169">
        <w:rPr>
          <w:rFonts w:ascii="Garamond" w:hAnsi="Garamond"/>
          <w:sz w:val="24"/>
          <w:szCs w:val="24"/>
        </w:rPr>
        <w:t xml:space="preserve">asset size is slightly smaller, their performance is significantly worse in terms of labor productivity and profitability (but not TFP), their relative importance (i.e., the share of their value added in the oversight government’s portfolio of SOEs) is </w:t>
      </w:r>
      <w:r w:rsidR="000202CF">
        <w:rPr>
          <w:rFonts w:ascii="Garamond" w:hAnsi="Garamond"/>
          <w:sz w:val="24"/>
          <w:szCs w:val="24"/>
        </w:rPr>
        <w:t>lower</w:t>
      </w:r>
      <w:r w:rsidRPr="00EE7169">
        <w:rPr>
          <w:rFonts w:ascii="Garamond" w:hAnsi="Garamond"/>
          <w:sz w:val="24"/>
          <w:szCs w:val="24"/>
        </w:rPr>
        <w:t xml:space="preserve">, and the urban unemployment rates of their location tend to be slightly higher. The picture that emerges is that the oversight government tends to decentralize SOEs that are </w:t>
      </w:r>
      <w:r w:rsidR="000202CF">
        <w:rPr>
          <w:rFonts w:ascii="Garamond" w:hAnsi="Garamond"/>
          <w:sz w:val="24"/>
          <w:szCs w:val="24"/>
        </w:rPr>
        <w:t>far away</w:t>
      </w:r>
      <w:r w:rsidRPr="00EE7169">
        <w:rPr>
          <w:rFonts w:ascii="Garamond" w:hAnsi="Garamond"/>
          <w:sz w:val="24"/>
          <w:szCs w:val="24"/>
        </w:rPr>
        <w:t xml:space="preserve">, smaller, less important, and worse-performing. The pattern is roughly consistent with our predictions in the conceptual framework. </w:t>
      </w:r>
    </w:p>
    <w:p w14:paraId="265071AB" w14:textId="1EF046F1" w:rsidR="00A2497E" w:rsidRPr="00EE7169" w:rsidRDefault="00A2497E" w:rsidP="00AC314F">
      <w:pPr>
        <w:spacing w:after="120" w:line="480" w:lineRule="auto"/>
        <w:ind w:firstLine="418"/>
        <w:rPr>
          <w:rFonts w:ascii="Garamond" w:hAnsi="Garamond"/>
          <w:sz w:val="24"/>
          <w:szCs w:val="24"/>
        </w:rPr>
      </w:pPr>
      <w:r w:rsidRPr="00EE7169">
        <w:rPr>
          <w:rFonts w:ascii="Garamond" w:hAnsi="Garamond"/>
          <w:sz w:val="24"/>
          <w:szCs w:val="24"/>
        </w:rPr>
        <w:t xml:space="preserve">     In Table 3, we compare the </w:t>
      </w:r>
      <w:r w:rsidR="000202CF">
        <w:rPr>
          <w:rFonts w:ascii="Garamond" w:hAnsi="Garamond"/>
          <w:sz w:val="24"/>
          <w:szCs w:val="24"/>
        </w:rPr>
        <w:t>incidence</w:t>
      </w:r>
      <w:r w:rsidRPr="00EE7169">
        <w:rPr>
          <w:rFonts w:ascii="Garamond" w:hAnsi="Garamond"/>
          <w:sz w:val="24"/>
          <w:szCs w:val="24"/>
        </w:rPr>
        <w:t xml:space="preserve"> of SOE decentralization for central, provincial and municipal SOEs that are located in the same city as the oversight government with those that are located at different cities. </w:t>
      </w:r>
      <w:r w:rsidR="000202CF">
        <w:rPr>
          <w:rFonts w:ascii="Garamond" w:hAnsi="Garamond"/>
          <w:sz w:val="24"/>
          <w:szCs w:val="24"/>
        </w:rPr>
        <w:t>The</w:t>
      </w:r>
      <w:r w:rsidRPr="00EE7169">
        <w:rPr>
          <w:rFonts w:ascii="Garamond" w:hAnsi="Garamond"/>
          <w:sz w:val="24"/>
          <w:szCs w:val="24"/>
        </w:rPr>
        <w:t xml:space="preserve"> </w:t>
      </w:r>
      <w:r w:rsidR="000202CF">
        <w:rPr>
          <w:rFonts w:ascii="Garamond" w:hAnsi="Garamond"/>
          <w:sz w:val="24"/>
          <w:szCs w:val="24"/>
        </w:rPr>
        <w:t>incidence</w:t>
      </w:r>
      <w:r w:rsidRPr="00EE7169">
        <w:rPr>
          <w:rFonts w:ascii="Garamond" w:hAnsi="Garamond"/>
          <w:sz w:val="24"/>
          <w:szCs w:val="24"/>
        </w:rPr>
        <w:t xml:space="preserve"> is much higher when the firm is located in different cities from the oversight government than wh</w:t>
      </w:r>
      <w:r w:rsidR="0081267C">
        <w:rPr>
          <w:rFonts w:ascii="Garamond" w:hAnsi="Garamond"/>
          <w:sz w:val="24"/>
          <w:szCs w:val="24"/>
        </w:rPr>
        <w:t>en it is in the same city: 15.6 vs. 5.5 percent</w:t>
      </w:r>
      <w:r w:rsidRPr="00EE7169">
        <w:rPr>
          <w:rFonts w:ascii="Garamond" w:hAnsi="Garamond"/>
          <w:sz w:val="24"/>
          <w:szCs w:val="24"/>
        </w:rPr>
        <w:t xml:space="preserve"> for central </w:t>
      </w:r>
      <w:r w:rsidR="0081267C">
        <w:rPr>
          <w:rFonts w:ascii="Garamond" w:hAnsi="Garamond"/>
          <w:sz w:val="24"/>
          <w:szCs w:val="24"/>
        </w:rPr>
        <w:t>SOEs, 15.4 vs. 5.3 percent for provincial SOEs, and 11.4 vs. 4.2 percent</w:t>
      </w:r>
      <w:r w:rsidRPr="00EE7169">
        <w:rPr>
          <w:rFonts w:ascii="Garamond" w:hAnsi="Garamond"/>
          <w:sz w:val="24"/>
          <w:szCs w:val="24"/>
        </w:rPr>
        <w:t xml:space="preserve"> for municipal SOEs.   This pattern is consistent with our prediction that </w:t>
      </w:r>
      <w:r w:rsidR="00236021">
        <w:rPr>
          <w:rFonts w:ascii="Garamond" w:hAnsi="Garamond"/>
          <w:sz w:val="24"/>
          <w:szCs w:val="24"/>
        </w:rPr>
        <w:t xml:space="preserve">a </w:t>
      </w:r>
      <w:r w:rsidR="00002ED4">
        <w:rPr>
          <w:rFonts w:ascii="Garamond" w:hAnsi="Garamond" w:hint="eastAsia"/>
          <w:sz w:val="24"/>
          <w:szCs w:val="24"/>
        </w:rPr>
        <w:t>larger</w:t>
      </w:r>
      <w:r w:rsidR="00002ED4" w:rsidRPr="00EE7169">
        <w:rPr>
          <w:rFonts w:ascii="Garamond" w:hAnsi="Garamond"/>
          <w:sz w:val="24"/>
          <w:szCs w:val="24"/>
        </w:rPr>
        <w:t xml:space="preserve"> </w:t>
      </w:r>
      <w:r w:rsidRPr="00EE7169">
        <w:rPr>
          <w:rFonts w:ascii="Garamond" w:hAnsi="Garamond"/>
          <w:sz w:val="24"/>
          <w:szCs w:val="24"/>
        </w:rPr>
        <w:t xml:space="preserve">distance </w:t>
      </w:r>
      <w:r w:rsidR="00451518">
        <w:rPr>
          <w:rFonts w:ascii="Garamond" w:hAnsi="Garamond"/>
          <w:sz w:val="24"/>
          <w:szCs w:val="24"/>
        </w:rPr>
        <w:t>to the</w:t>
      </w:r>
      <w:r w:rsidR="00451518" w:rsidRPr="00EE7169">
        <w:rPr>
          <w:rFonts w:ascii="Garamond" w:hAnsi="Garamond"/>
          <w:sz w:val="24"/>
          <w:szCs w:val="24"/>
        </w:rPr>
        <w:t xml:space="preserve"> </w:t>
      </w:r>
      <w:r w:rsidRPr="00EE7169">
        <w:rPr>
          <w:rFonts w:ascii="Garamond" w:hAnsi="Garamond"/>
          <w:sz w:val="24"/>
          <w:szCs w:val="24"/>
        </w:rPr>
        <w:t xml:space="preserve">oversight government leads to more decentralization. </w:t>
      </w:r>
    </w:p>
    <w:p w14:paraId="772569BC" w14:textId="7F41010F" w:rsidR="00A2497E" w:rsidRPr="00EE7169" w:rsidRDefault="00A2497E" w:rsidP="00AC314F">
      <w:pPr>
        <w:spacing w:after="120" w:line="480" w:lineRule="auto"/>
        <w:rPr>
          <w:rFonts w:ascii="Garamond" w:hAnsi="Garamond"/>
          <w:sz w:val="24"/>
          <w:szCs w:val="24"/>
        </w:rPr>
      </w:pPr>
      <w:r w:rsidRPr="00EE7169">
        <w:rPr>
          <w:rFonts w:ascii="Garamond" w:hAnsi="Garamond"/>
          <w:sz w:val="24"/>
          <w:szCs w:val="24"/>
        </w:rPr>
        <w:tab/>
      </w:r>
      <w:r w:rsidRPr="00EE7169">
        <w:rPr>
          <w:rFonts w:ascii="Garamond" w:hAnsi="Garamond"/>
          <w:sz w:val="24"/>
          <w:szCs w:val="24"/>
        </w:rPr>
        <w:tab/>
        <w:t xml:space="preserve">Table 4 presents the baseline probit results. The magnitudes reported are the marginal effects on </w:t>
      </w:r>
      <w:r w:rsidR="009D32AF">
        <w:rPr>
          <w:rFonts w:ascii="Garamond" w:hAnsi="Garamond"/>
          <w:sz w:val="24"/>
          <w:szCs w:val="24"/>
        </w:rPr>
        <w:t xml:space="preserve">the </w:t>
      </w:r>
      <w:r w:rsidRPr="00EE7169">
        <w:rPr>
          <w:rFonts w:ascii="Garamond" w:hAnsi="Garamond"/>
          <w:sz w:val="24"/>
          <w:szCs w:val="24"/>
        </w:rPr>
        <w:t xml:space="preserve">probability of decentralization. In the first </w:t>
      </w:r>
      <w:r w:rsidR="00082440">
        <w:rPr>
          <w:rFonts w:ascii="Garamond" w:hAnsi="Garamond"/>
          <w:sz w:val="24"/>
          <w:szCs w:val="24"/>
        </w:rPr>
        <w:t>four</w:t>
      </w:r>
      <w:r w:rsidRPr="00EE7169">
        <w:rPr>
          <w:rFonts w:ascii="Garamond" w:hAnsi="Garamond"/>
          <w:sz w:val="24"/>
          <w:szCs w:val="24"/>
        </w:rPr>
        <w:t xml:space="preserve"> columns, we present the results for the whole sample, </w:t>
      </w:r>
      <w:r w:rsidR="0037188D">
        <w:rPr>
          <w:rFonts w:ascii="Garamond" w:hAnsi="Garamond"/>
          <w:sz w:val="24"/>
          <w:szCs w:val="24"/>
        </w:rPr>
        <w:t xml:space="preserve">and for the </w:t>
      </w:r>
      <w:r w:rsidRPr="00EE7169">
        <w:rPr>
          <w:rFonts w:ascii="Garamond" w:hAnsi="Garamond"/>
          <w:sz w:val="24"/>
          <w:szCs w:val="24"/>
        </w:rPr>
        <w:t>central SOEs, provincial SOEs, and municipal SOEs, respectively</w:t>
      </w:r>
      <w:r w:rsidR="0037188D">
        <w:rPr>
          <w:rFonts w:ascii="Garamond" w:hAnsi="Garamond"/>
          <w:sz w:val="24"/>
          <w:szCs w:val="24"/>
        </w:rPr>
        <w:t>,</w:t>
      </w:r>
      <w:r w:rsidRPr="00EE7169">
        <w:rPr>
          <w:rFonts w:ascii="Garamond" w:hAnsi="Garamond"/>
          <w:sz w:val="24"/>
          <w:szCs w:val="24"/>
        </w:rPr>
        <w:t xml:space="preserve"> to see if distance matters similarly within each oversight category. In the </w:t>
      </w:r>
      <w:r w:rsidR="0037188D">
        <w:rPr>
          <w:rFonts w:ascii="Garamond" w:hAnsi="Garamond"/>
          <w:sz w:val="24"/>
          <w:szCs w:val="24"/>
        </w:rPr>
        <w:t xml:space="preserve">last </w:t>
      </w:r>
      <w:r w:rsidR="00082440">
        <w:rPr>
          <w:rFonts w:ascii="Garamond" w:hAnsi="Garamond"/>
          <w:sz w:val="24"/>
          <w:szCs w:val="24"/>
        </w:rPr>
        <w:t>four</w:t>
      </w:r>
      <w:r w:rsidRPr="00EE7169">
        <w:rPr>
          <w:rFonts w:ascii="Garamond" w:hAnsi="Garamond"/>
          <w:sz w:val="24"/>
          <w:szCs w:val="24"/>
        </w:rPr>
        <w:t xml:space="preserve"> columns, we re-do the analysis using the dummy variable of being in </w:t>
      </w:r>
      <w:r w:rsidR="00082440">
        <w:rPr>
          <w:rFonts w:ascii="Garamond" w:hAnsi="Garamond"/>
          <w:sz w:val="24"/>
          <w:szCs w:val="24"/>
        </w:rPr>
        <w:t>a different</w:t>
      </w:r>
      <w:r w:rsidRPr="00EE7169">
        <w:rPr>
          <w:rFonts w:ascii="Garamond" w:hAnsi="Garamond"/>
          <w:sz w:val="24"/>
          <w:szCs w:val="24"/>
        </w:rPr>
        <w:t xml:space="preserve"> city </w:t>
      </w:r>
      <w:r w:rsidR="00082440">
        <w:rPr>
          <w:rFonts w:ascii="Garamond" w:hAnsi="Garamond"/>
          <w:sz w:val="24"/>
          <w:szCs w:val="24"/>
        </w:rPr>
        <w:t>from</w:t>
      </w:r>
      <w:r w:rsidRPr="00EE7169">
        <w:rPr>
          <w:rFonts w:ascii="Garamond" w:hAnsi="Garamond"/>
          <w:sz w:val="24"/>
          <w:szCs w:val="24"/>
        </w:rPr>
        <w:t xml:space="preserve"> the oversight government instead of the continuous measure of distance. </w:t>
      </w:r>
    </w:p>
    <w:p w14:paraId="1EDB6866" w14:textId="02DE4F84" w:rsidR="00082440" w:rsidRDefault="00A2497E" w:rsidP="00AC314F">
      <w:pPr>
        <w:spacing w:after="120" w:line="480" w:lineRule="auto"/>
        <w:rPr>
          <w:rStyle w:val="CommentReference"/>
          <w:rFonts w:ascii="Garamond" w:hAnsi="Garamond"/>
          <w:kern w:val="0"/>
        </w:rPr>
      </w:pPr>
      <w:r w:rsidRPr="00EE7169">
        <w:rPr>
          <w:rFonts w:ascii="Garamond" w:hAnsi="Garamond"/>
          <w:sz w:val="24"/>
          <w:szCs w:val="24"/>
        </w:rPr>
        <w:tab/>
      </w:r>
      <w:r w:rsidRPr="00EE7169">
        <w:rPr>
          <w:rFonts w:ascii="Garamond" w:hAnsi="Garamond"/>
          <w:sz w:val="24"/>
          <w:szCs w:val="24"/>
        </w:rPr>
        <w:tab/>
        <w:t>Distance (in log) is robustly positively correlated with decentralization</w:t>
      </w:r>
      <w:r w:rsidR="00082440">
        <w:rPr>
          <w:rFonts w:ascii="Garamond" w:hAnsi="Garamond"/>
          <w:sz w:val="24"/>
          <w:szCs w:val="24"/>
        </w:rPr>
        <w:t>, regardless if we use the full or oversight-specific samples</w:t>
      </w:r>
      <w:r w:rsidRPr="00EE7169">
        <w:rPr>
          <w:rFonts w:ascii="Garamond" w:hAnsi="Garamond"/>
          <w:sz w:val="24"/>
          <w:szCs w:val="24"/>
        </w:rPr>
        <w:t xml:space="preserve">. </w:t>
      </w:r>
      <w:r w:rsidR="000D591F">
        <w:rPr>
          <w:rFonts w:ascii="Garamond" w:hAnsi="Garamond"/>
          <w:sz w:val="24"/>
          <w:szCs w:val="24"/>
        </w:rPr>
        <w:t>Based on column (1) f</w:t>
      </w:r>
      <w:r w:rsidR="000D591F" w:rsidRPr="00EE7169">
        <w:rPr>
          <w:rFonts w:ascii="Garamond" w:hAnsi="Garamond"/>
          <w:sz w:val="24"/>
          <w:szCs w:val="24"/>
        </w:rPr>
        <w:t xml:space="preserve">or the pooled sample, increasing distance by one standard deviation (2.24) would increase the probability of decentralization by 1.41 percentage </w:t>
      </w:r>
      <w:r w:rsidR="000D591F" w:rsidRPr="00EE7169">
        <w:rPr>
          <w:rFonts w:ascii="Garamond" w:hAnsi="Garamond"/>
          <w:sz w:val="24"/>
          <w:szCs w:val="24"/>
        </w:rPr>
        <w:lastRenderedPageBreak/>
        <w:t>points (or 10% of the standard deviation</w:t>
      </w:r>
      <w:r w:rsidR="000D591F">
        <w:rPr>
          <w:rFonts w:ascii="Garamond" w:hAnsi="Garamond"/>
          <w:sz w:val="24"/>
          <w:szCs w:val="24"/>
        </w:rPr>
        <w:t xml:space="preserve"> of the dependent variable</w:t>
      </w:r>
      <w:r w:rsidR="000D591F" w:rsidRPr="00EE7169">
        <w:rPr>
          <w:rFonts w:ascii="Garamond" w:hAnsi="Garamond"/>
          <w:sz w:val="24"/>
          <w:szCs w:val="24"/>
        </w:rPr>
        <w:t xml:space="preserve">). </w:t>
      </w:r>
      <w:r w:rsidR="000271E0">
        <w:rPr>
          <w:rFonts w:ascii="Garamond" w:hAnsi="Garamond"/>
          <w:sz w:val="24"/>
          <w:szCs w:val="24"/>
        </w:rPr>
        <w:t xml:space="preserve">The positive distance-decentralization </w:t>
      </w:r>
      <w:r w:rsidR="000A1635">
        <w:rPr>
          <w:rFonts w:ascii="Garamond" w:hAnsi="Garamond"/>
          <w:sz w:val="24"/>
          <w:szCs w:val="24"/>
        </w:rPr>
        <w:t xml:space="preserve">link </w:t>
      </w:r>
      <w:r w:rsidR="000271E0">
        <w:rPr>
          <w:rFonts w:ascii="Garamond" w:hAnsi="Garamond"/>
          <w:sz w:val="24"/>
          <w:szCs w:val="24"/>
        </w:rPr>
        <w:t xml:space="preserve">remains true when we estimate the relationship for central, provincial, and municipal SOEs, respectively. </w:t>
      </w:r>
      <w:r w:rsidRPr="00EE7169">
        <w:rPr>
          <w:rFonts w:ascii="Garamond" w:hAnsi="Garamond"/>
          <w:sz w:val="24"/>
          <w:szCs w:val="24"/>
        </w:rPr>
        <w:t xml:space="preserve">The </w:t>
      </w:r>
      <w:r w:rsidR="000271E0">
        <w:rPr>
          <w:rFonts w:ascii="Garamond" w:hAnsi="Garamond"/>
          <w:sz w:val="24"/>
          <w:szCs w:val="24"/>
        </w:rPr>
        <w:t xml:space="preserve">coefficient of </w:t>
      </w:r>
      <w:r w:rsidRPr="00EE7169">
        <w:rPr>
          <w:rFonts w:ascii="Garamond" w:hAnsi="Garamond"/>
          <w:sz w:val="24"/>
          <w:szCs w:val="24"/>
        </w:rPr>
        <w:t xml:space="preserve">distance is especially </w:t>
      </w:r>
      <w:r w:rsidR="000271E0">
        <w:rPr>
          <w:rFonts w:ascii="Garamond" w:hAnsi="Garamond"/>
          <w:sz w:val="24"/>
          <w:szCs w:val="24"/>
        </w:rPr>
        <w:t>large</w:t>
      </w:r>
      <w:r w:rsidRPr="00EE7169">
        <w:rPr>
          <w:rFonts w:ascii="Garamond" w:hAnsi="Garamond"/>
          <w:sz w:val="24"/>
          <w:szCs w:val="24"/>
        </w:rPr>
        <w:t xml:space="preserve"> for municipal SOEs. For the central, provincial, and </w:t>
      </w:r>
      <w:r w:rsidR="007E7CEB">
        <w:rPr>
          <w:rFonts w:ascii="Garamond" w:hAnsi="Garamond" w:hint="eastAsia"/>
          <w:sz w:val="24"/>
          <w:szCs w:val="24"/>
        </w:rPr>
        <w:t>municipal</w:t>
      </w:r>
      <w:r w:rsidRPr="00EE7169">
        <w:rPr>
          <w:rFonts w:ascii="Garamond" w:hAnsi="Garamond"/>
          <w:sz w:val="24"/>
          <w:szCs w:val="24"/>
        </w:rPr>
        <w:t xml:space="preserve"> SOEs, increasing distance by one standard deviation (1.54, 1.61, and 1.49) would increase the probability of decentralization by 0.75, 0.68, and 0.81 percentage points, or </w:t>
      </w:r>
      <w:r w:rsidR="00574E0C" w:rsidRPr="00EE7169">
        <w:rPr>
          <w:rFonts w:ascii="Garamond" w:hAnsi="Garamond"/>
          <w:sz w:val="24"/>
          <w:szCs w:val="24"/>
        </w:rPr>
        <w:t>4</w:t>
      </w:r>
      <w:r w:rsidRPr="00EE7169">
        <w:rPr>
          <w:rFonts w:ascii="Garamond" w:hAnsi="Garamond"/>
          <w:sz w:val="24"/>
          <w:szCs w:val="24"/>
        </w:rPr>
        <w:t xml:space="preserve">%, </w:t>
      </w:r>
      <w:r w:rsidR="00574E0C" w:rsidRPr="00EE7169">
        <w:rPr>
          <w:rFonts w:ascii="Garamond" w:hAnsi="Garamond"/>
          <w:sz w:val="24"/>
          <w:szCs w:val="24"/>
        </w:rPr>
        <w:t>5</w:t>
      </w:r>
      <w:r w:rsidRPr="00EE7169">
        <w:rPr>
          <w:rFonts w:ascii="Garamond" w:hAnsi="Garamond"/>
          <w:sz w:val="24"/>
          <w:szCs w:val="24"/>
        </w:rPr>
        <w:t xml:space="preserve">% and </w:t>
      </w:r>
      <w:r w:rsidR="00574E0C" w:rsidRPr="00EE7169">
        <w:rPr>
          <w:rFonts w:ascii="Garamond" w:hAnsi="Garamond"/>
          <w:sz w:val="24"/>
          <w:szCs w:val="24"/>
        </w:rPr>
        <w:t>7</w:t>
      </w:r>
      <w:r w:rsidRPr="00EE7169">
        <w:rPr>
          <w:rFonts w:ascii="Garamond" w:hAnsi="Garamond"/>
          <w:sz w:val="24"/>
          <w:szCs w:val="24"/>
        </w:rPr>
        <w:t xml:space="preserve">% of the </w:t>
      </w:r>
      <w:r w:rsidR="00055B92" w:rsidRPr="00EE7169">
        <w:rPr>
          <w:rFonts w:ascii="Garamond" w:hAnsi="Garamond"/>
          <w:sz w:val="24"/>
          <w:szCs w:val="24"/>
        </w:rPr>
        <w:t>standard deviation</w:t>
      </w:r>
      <w:r w:rsidRPr="00EE7169">
        <w:rPr>
          <w:rFonts w:ascii="Garamond" w:hAnsi="Garamond"/>
          <w:sz w:val="24"/>
          <w:szCs w:val="24"/>
        </w:rPr>
        <w:t>.</w:t>
      </w:r>
      <w:r w:rsidR="001B3C46" w:rsidRPr="00EE7169">
        <w:rPr>
          <w:rStyle w:val="CommentReference"/>
          <w:rFonts w:ascii="Garamond" w:hAnsi="Garamond"/>
          <w:kern w:val="0"/>
        </w:rPr>
        <w:t xml:space="preserve"> </w:t>
      </w:r>
    </w:p>
    <w:p w14:paraId="400FC5EA" w14:textId="18983452" w:rsidR="00082440" w:rsidRDefault="00082440" w:rsidP="00AC314F">
      <w:pPr>
        <w:spacing w:after="120" w:line="480" w:lineRule="auto"/>
        <w:ind w:firstLine="420"/>
        <w:rPr>
          <w:rFonts w:ascii="Garamond" w:hAnsi="Garamond"/>
          <w:sz w:val="24"/>
          <w:szCs w:val="24"/>
        </w:rPr>
      </w:pPr>
      <w:r>
        <w:rPr>
          <w:rStyle w:val="CommentReference"/>
          <w:rFonts w:ascii="Garamond" w:hAnsi="Garamond"/>
          <w:kern w:val="0"/>
        </w:rPr>
        <w:t xml:space="preserve">      </w:t>
      </w:r>
      <w:r w:rsidR="00A2497E" w:rsidRPr="00EE7169">
        <w:rPr>
          <w:rFonts w:ascii="Garamond" w:hAnsi="Garamond"/>
          <w:sz w:val="24"/>
          <w:szCs w:val="24"/>
        </w:rPr>
        <w:t xml:space="preserve">Relying on the </w:t>
      </w:r>
      <w:r w:rsidR="000271E0">
        <w:rPr>
          <w:rFonts w:ascii="Garamond" w:hAnsi="Garamond"/>
          <w:sz w:val="24"/>
          <w:szCs w:val="24"/>
        </w:rPr>
        <w:t>dummy</w:t>
      </w:r>
      <w:r w:rsidR="00A2497E" w:rsidRPr="00EE7169">
        <w:rPr>
          <w:rFonts w:ascii="Garamond" w:hAnsi="Garamond"/>
          <w:sz w:val="24"/>
          <w:szCs w:val="24"/>
        </w:rPr>
        <w:t xml:space="preserve"> version of distance, when </w:t>
      </w:r>
      <w:r w:rsidR="00451518">
        <w:rPr>
          <w:rFonts w:ascii="Garamond" w:hAnsi="Garamond"/>
          <w:sz w:val="24"/>
          <w:szCs w:val="24"/>
        </w:rPr>
        <w:t>an</w:t>
      </w:r>
      <w:r w:rsidR="00451518" w:rsidRPr="00EE7169">
        <w:rPr>
          <w:rFonts w:ascii="Garamond" w:hAnsi="Garamond"/>
          <w:sz w:val="24"/>
          <w:szCs w:val="24"/>
        </w:rPr>
        <w:t xml:space="preserve"> </w:t>
      </w:r>
      <w:r w:rsidR="00A2497E" w:rsidRPr="00EE7169">
        <w:rPr>
          <w:rFonts w:ascii="Garamond" w:hAnsi="Garamond"/>
          <w:sz w:val="24"/>
          <w:szCs w:val="24"/>
        </w:rPr>
        <w:t>SOE is located in a different city from the oversight government, the probability of decentralization increase</w:t>
      </w:r>
      <w:r w:rsidR="00451518">
        <w:rPr>
          <w:rFonts w:ascii="Garamond" w:hAnsi="Garamond"/>
          <w:sz w:val="24"/>
          <w:szCs w:val="24"/>
        </w:rPr>
        <w:t>s</w:t>
      </w:r>
      <w:r w:rsidR="00A2497E" w:rsidRPr="00EE7169">
        <w:rPr>
          <w:rFonts w:ascii="Garamond" w:hAnsi="Garamond"/>
          <w:sz w:val="24"/>
          <w:szCs w:val="24"/>
        </w:rPr>
        <w:t xml:space="preserve"> by 2.72 percentage points for the pooled sample, and 1.87, 1.47, and 4.4 percentage points for central, provincial and municipal SOEs, respectively.  These numbers translate into </w:t>
      </w:r>
      <w:r w:rsidR="00574E0C" w:rsidRPr="00EE7169">
        <w:rPr>
          <w:rFonts w:ascii="Garamond" w:hAnsi="Garamond"/>
          <w:sz w:val="24"/>
          <w:szCs w:val="24"/>
        </w:rPr>
        <w:t>20</w:t>
      </w:r>
      <w:r w:rsidR="00A2497E" w:rsidRPr="00EE7169">
        <w:rPr>
          <w:rFonts w:ascii="Garamond" w:hAnsi="Garamond"/>
          <w:sz w:val="24"/>
          <w:szCs w:val="24"/>
        </w:rPr>
        <w:t xml:space="preserve">%, </w:t>
      </w:r>
      <w:r w:rsidR="00574E0C" w:rsidRPr="00EE7169">
        <w:rPr>
          <w:rFonts w:ascii="Garamond" w:hAnsi="Garamond"/>
          <w:sz w:val="24"/>
          <w:szCs w:val="24"/>
        </w:rPr>
        <w:t>10</w:t>
      </w:r>
      <w:r w:rsidR="00A2497E" w:rsidRPr="00EE7169">
        <w:rPr>
          <w:rFonts w:ascii="Garamond" w:hAnsi="Garamond"/>
          <w:sz w:val="24"/>
          <w:szCs w:val="24"/>
        </w:rPr>
        <w:t xml:space="preserve">%, </w:t>
      </w:r>
      <w:r w:rsidR="00574E0C" w:rsidRPr="00EE7169">
        <w:rPr>
          <w:rFonts w:ascii="Garamond" w:hAnsi="Garamond"/>
          <w:sz w:val="24"/>
          <w:szCs w:val="24"/>
        </w:rPr>
        <w:t>10</w:t>
      </w:r>
      <w:r w:rsidR="00A2497E" w:rsidRPr="00EE7169">
        <w:rPr>
          <w:rFonts w:ascii="Garamond" w:hAnsi="Garamond"/>
          <w:sz w:val="24"/>
          <w:szCs w:val="24"/>
        </w:rPr>
        <w:t xml:space="preserve">%, and </w:t>
      </w:r>
      <w:r w:rsidR="00574E0C" w:rsidRPr="00EE7169">
        <w:rPr>
          <w:rFonts w:ascii="Garamond" w:hAnsi="Garamond"/>
          <w:sz w:val="24"/>
          <w:szCs w:val="24"/>
        </w:rPr>
        <w:t>4</w:t>
      </w:r>
      <w:r w:rsidR="00A2497E" w:rsidRPr="00EE7169">
        <w:rPr>
          <w:rFonts w:ascii="Garamond" w:hAnsi="Garamond"/>
          <w:sz w:val="24"/>
          <w:szCs w:val="24"/>
        </w:rPr>
        <w:t xml:space="preserve">% increase in probability of decentralization </w:t>
      </w:r>
      <w:r w:rsidR="00055B92" w:rsidRPr="00EE7169">
        <w:rPr>
          <w:rFonts w:ascii="Garamond" w:hAnsi="Garamond"/>
          <w:sz w:val="24"/>
          <w:szCs w:val="24"/>
        </w:rPr>
        <w:t>in terms of</w:t>
      </w:r>
      <w:r w:rsidR="00A2497E" w:rsidRPr="00EE7169">
        <w:rPr>
          <w:rFonts w:ascii="Garamond" w:hAnsi="Garamond"/>
          <w:sz w:val="24"/>
          <w:szCs w:val="24"/>
        </w:rPr>
        <w:t xml:space="preserve"> their </w:t>
      </w:r>
      <w:r w:rsidR="00055B92" w:rsidRPr="00EE7169">
        <w:rPr>
          <w:rFonts w:ascii="Garamond" w:hAnsi="Garamond"/>
          <w:sz w:val="24"/>
          <w:szCs w:val="24"/>
        </w:rPr>
        <w:t>standard deviations</w:t>
      </w:r>
      <w:r w:rsidR="00A2497E" w:rsidRPr="00EE7169">
        <w:rPr>
          <w:rFonts w:ascii="Garamond" w:hAnsi="Garamond"/>
          <w:sz w:val="24"/>
          <w:szCs w:val="24"/>
        </w:rPr>
        <w:t xml:space="preserve"> for the pooled, central, provincial, and </w:t>
      </w:r>
      <w:r w:rsidR="007E7CEB">
        <w:rPr>
          <w:rFonts w:ascii="Garamond" w:hAnsi="Garamond" w:hint="eastAsia"/>
          <w:sz w:val="24"/>
          <w:szCs w:val="24"/>
        </w:rPr>
        <w:t>municipal</w:t>
      </w:r>
      <w:r w:rsidR="00A2497E" w:rsidRPr="00EE7169">
        <w:rPr>
          <w:rFonts w:ascii="Garamond" w:hAnsi="Garamond"/>
          <w:sz w:val="24"/>
          <w:szCs w:val="24"/>
        </w:rPr>
        <w:t xml:space="preserve"> SOEs.  </w:t>
      </w:r>
    </w:p>
    <w:p w14:paraId="71564F79" w14:textId="3ECFF6F1" w:rsidR="00A2497E" w:rsidRPr="00082440" w:rsidRDefault="00082440" w:rsidP="00AC314F">
      <w:pPr>
        <w:spacing w:after="120" w:line="480" w:lineRule="auto"/>
        <w:ind w:firstLine="420"/>
        <w:rPr>
          <w:rFonts w:ascii="Garamond" w:hAnsi="Garamond"/>
          <w:kern w:val="0"/>
          <w:sz w:val="16"/>
          <w:szCs w:val="16"/>
        </w:rPr>
      </w:pPr>
      <w:r>
        <w:rPr>
          <w:rFonts w:ascii="Garamond" w:hAnsi="Garamond"/>
          <w:sz w:val="24"/>
          <w:szCs w:val="24"/>
        </w:rPr>
        <w:t xml:space="preserve">    </w:t>
      </w:r>
      <w:r w:rsidR="00A2497E" w:rsidRPr="00EE7169">
        <w:rPr>
          <w:rFonts w:ascii="Garamond" w:hAnsi="Garamond"/>
          <w:sz w:val="24"/>
          <w:szCs w:val="24"/>
        </w:rPr>
        <w:t>Based on the pooled sample, other determinants of decentralization behave similarly as we observed in the decentralization vs. non-decentralization samples comparisons. That is, decentralization i</w:t>
      </w:r>
      <w:r w:rsidR="00AA788C">
        <w:rPr>
          <w:rFonts w:ascii="Garamond" w:hAnsi="Garamond"/>
          <w:sz w:val="24"/>
          <w:szCs w:val="24"/>
        </w:rPr>
        <w:t>s more likely for smaller firms. Consistent with prediction 1, decentralization is more likely for</w:t>
      </w:r>
      <w:r w:rsidR="00A2497E" w:rsidRPr="00EE7169">
        <w:rPr>
          <w:rFonts w:ascii="Garamond" w:hAnsi="Garamond"/>
          <w:sz w:val="24"/>
          <w:szCs w:val="24"/>
        </w:rPr>
        <w:t xml:space="preserve"> worse-performing firms </w:t>
      </w:r>
      <w:r w:rsidR="00AA788C">
        <w:rPr>
          <w:rFonts w:ascii="Garamond" w:hAnsi="Garamond"/>
          <w:sz w:val="24"/>
          <w:szCs w:val="24"/>
        </w:rPr>
        <w:t xml:space="preserve">and for </w:t>
      </w:r>
      <w:r w:rsidR="00A2497E" w:rsidRPr="00EE7169">
        <w:rPr>
          <w:rFonts w:ascii="Garamond" w:hAnsi="Garamond"/>
          <w:sz w:val="24"/>
          <w:szCs w:val="24"/>
        </w:rPr>
        <w:t>less important firms</w:t>
      </w:r>
      <w:r w:rsidR="00AA788C">
        <w:rPr>
          <w:rFonts w:ascii="Garamond" w:hAnsi="Garamond"/>
          <w:sz w:val="24"/>
          <w:szCs w:val="24"/>
        </w:rPr>
        <w:t>.</w:t>
      </w:r>
      <w:r w:rsidR="00A2497E" w:rsidRPr="00EE7169">
        <w:rPr>
          <w:rFonts w:ascii="Garamond" w:hAnsi="Garamond"/>
          <w:sz w:val="24"/>
          <w:szCs w:val="24"/>
        </w:rPr>
        <w:t xml:space="preserve"> However, these auxiliary controls do not behave consistently across oversight status. Thus, the effect of distance between SOEs and their oversight government seems to be more robust than other forces such as control benefits (i.e., firm importance) and fiscal burden (i.e., lagged firm performance).</w:t>
      </w:r>
    </w:p>
    <w:p w14:paraId="1733D0AB" w14:textId="4BFF62C9" w:rsidR="00A2497E" w:rsidRDefault="00AD2017" w:rsidP="00AC314F">
      <w:pPr>
        <w:spacing w:after="120" w:line="480" w:lineRule="auto"/>
        <w:rPr>
          <w:rFonts w:ascii="Garamond" w:hAnsi="Garamond"/>
          <w:sz w:val="24"/>
          <w:szCs w:val="24"/>
        </w:rPr>
      </w:pPr>
      <w:r>
        <w:rPr>
          <w:rFonts w:ascii="Garamond" w:hAnsi="Garamond"/>
          <w:sz w:val="24"/>
          <w:szCs w:val="24"/>
        </w:rPr>
        <w:tab/>
      </w:r>
      <w:r>
        <w:rPr>
          <w:rFonts w:ascii="Garamond" w:hAnsi="Garamond"/>
          <w:sz w:val="24"/>
          <w:szCs w:val="24"/>
        </w:rPr>
        <w:tab/>
      </w:r>
      <w:r w:rsidR="00D9136D">
        <w:rPr>
          <w:rFonts w:ascii="Garamond" w:hAnsi="Garamond"/>
          <w:sz w:val="24"/>
          <w:szCs w:val="24"/>
        </w:rPr>
        <w:t>It</w:t>
      </w:r>
      <w:r>
        <w:rPr>
          <w:rFonts w:ascii="Garamond" w:hAnsi="Garamond"/>
          <w:sz w:val="24"/>
          <w:szCs w:val="24"/>
        </w:rPr>
        <w:t xml:space="preserve"> is useful to </w:t>
      </w:r>
      <w:r w:rsidR="00D9136D">
        <w:rPr>
          <w:rFonts w:ascii="Garamond" w:hAnsi="Garamond"/>
          <w:sz w:val="24"/>
          <w:szCs w:val="24"/>
        </w:rPr>
        <w:t>know</w:t>
      </w:r>
      <w:r w:rsidR="0033675D">
        <w:rPr>
          <w:rFonts w:ascii="Garamond" w:hAnsi="Garamond"/>
          <w:sz w:val="24"/>
          <w:szCs w:val="24"/>
        </w:rPr>
        <w:t xml:space="preserve"> that our results are robust to whether we include </w:t>
      </w:r>
      <w:r>
        <w:rPr>
          <w:rFonts w:ascii="Garamond" w:hAnsi="Garamond"/>
          <w:sz w:val="24"/>
          <w:szCs w:val="24"/>
        </w:rPr>
        <w:t>the privatized periods in our sample</w:t>
      </w:r>
      <w:r w:rsidR="00D9136D">
        <w:rPr>
          <w:rFonts w:ascii="Garamond" w:hAnsi="Garamond"/>
          <w:sz w:val="24"/>
          <w:szCs w:val="24"/>
        </w:rPr>
        <w:t xml:space="preserve"> or not</w:t>
      </w:r>
      <w:r>
        <w:rPr>
          <w:rFonts w:ascii="Garamond" w:hAnsi="Garamond"/>
          <w:sz w:val="24"/>
          <w:szCs w:val="24"/>
        </w:rPr>
        <w:t>. In our baseline and the rest of paper (except in this paragraph), we delete the periods in which a</w:t>
      </w:r>
      <w:r w:rsidR="005904DD">
        <w:rPr>
          <w:rFonts w:ascii="Garamond" w:hAnsi="Garamond" w:hint="eastAsia"/>
          <w:sz w:val="24"/>
          <w:szCs w:val="24"/>
        </w:rPr>
        <w:t>n</w:t>
      </w:r>
      <w:r>
        <w:rPr>
          <w:rFonts w:ascii="Garamond" w:hAnsi="Garamond"/>
          <w:sz w:val="24"/>
          <w:szCs w:val="24"/>
        </w:rPr>
        <w:t xml:space="preserve"> SOE became privatized—</w:t>
      </w:r>
      <w:r w:rsidR="00D9136D">
        <w:rPr>
          <w:rFonts w:ascii="Garamond" w:hAnsi="Garamond"/>
          <w:sz w:val="24"/>
          <w:szCs w:val="24"/>
        </w:rPr>
        <w:t xml:space="preserve">for a firm that experienced privatization in the sample periods, </w:t>
      </w:r>
      <w:r>
        <w:rPr>
          <w:rFonts w:ascii="Garamond" w:hAnsi="Garamond"/>
          <w:sz w:val="24"/>
          <w:szCs w:val="24"/>
        </w:rPr>
        <w:t xml:space="preserve">the periods after the first year of privatization are automatically dropped, since, as in the case </w:t>
      </w:r>
      <w:r>
        <w:rPr>
          <w:rFonts w:ascii="Garamond" w:hAnsi="Garamond"/>
          <w:sz w:val="24"/>
          <w:szCs w:val="24"/>
        </w:rPr>
        <w:lastRenderedPageBreak/>
        <w:t xml:space="preserve">of decentralization, privatization was largely irreversible in our sample periods. </w:t>
      </w:r>
      <w:r w:rsidR="00D9136D">
        <w:rPr>
          <w:rFonts w:ascii="Garamond" w:hAnsi="Garamond"/>
          <w:sz w:val="24"/>
          <w:szCs w:val="24"/>
        </w:rPr>
        <w:t xml:space="preserve">To see whether our key results are sensitive to the inclusion of the observations underlying the period of privatization, </w:t>
      </w:r>
      <w:r>
        <w:rPr>
          <w:rFonts w:ascii="Garamond" w:hAnsi="Garamond"/>
          <w:sz w:val="24"/>
          <w:szCs w:val="24"/>
        </w:rPr>
        <w:t xml:space="preserve">we conduct a sensitivity check. </w:t>
      </w:r>
      <w:r w:rsidR="00D9136D">
        <w:rPr>
          <w:rFonts w:ascii="Garamond" w:hAnsi="Garamond"/>
          <w:sz w:val="24"/>
          <w:szCs w:val="24"/>
        </w:rPr>
        <w:t>Here (and only here) w</w:t>
      </w:r>
      <w:r>
        <w:rPr>
          <w:rFonts w:ascii="Garamond" w:hAnsi="Garamond"/>
          <w:sz w:val="24"/>
          <w:szCs w:val="24"/>
        </w:rPr>
        <w:t>e keep the “just privatized” year for a</w:t>
      </w:r>
      <w:r w:rsidR="005904DD">
        <w:rPr>
          <w:rFonts w:ascii="Garamond" w:hAnsi="Garamond" w:hint="eastAsia"/>
          <w:sz w:val="24"/>
          <w:szCs w:val="24"/>
        </w:rPr>
        <w:t>n</w:t>
      </w:r>
      <w:r>
        <w:rPr>
          <w:rFonts w:ascii="Garamond" w:hAnsi="Garamond"/>
          <w:sz w:val="24"/>
          <w:szCs w:val="24"/>
        </w:rPr>
        <w:t xml:space="preserve"> SOE. Now we have to empirically model a three-way choice: non-decentralized (the base scenario), decentralized, and privatized. We thus estimate the choice problem with multinomial logit model, with non-decentralized as the base category. The set of explanatory variables are the same </w:t>
      </w:r>
      <w:r w:rsidR="00A52072">
        <w:rPr>
          <w:rFonts w:ascii="Garamond" w:hAnsi="Garamond"/>
          <w:sz w:val="24"/>
          <w:szCs w:val="24"/>
        </w:rPr>
        <w:t xml:space="preserve">as in the baseline scenario in Table 4. </w:t>
      </w:r>
      <w:r w:rsidR="00D9136D">
        <w:rPr>
          <w:rFonts w:ascii="Garamond" w:hAnsi="Garamond"/>
          <w:sz w:val="24"/>
          <w:szCs w:val="24"/>
        </w:rPr>
        <w:t>The result in Table 5</w:t>
      </w:r>
      <w:r w:rsidR="000C3D3A">
        <w:rPr>
          <w:rFonts w:ascii="Garamond" w:hAnsi="Garamond"/>
          <w:sz w:val="24"/>
          <w:szCs w:val="24"/>
        </w:rPr>
        <w:t xml:space="preserve"> show that the distance between the firm and its original oversight government significantly increase the likelihood of decentralization, continuing to offer support to our conjecture; yet the same distance is not significantly related to the likelihood of privatization. Our key result thus remains intact whether or not we include the sample of “privatization years”. </w:t>
      </w:r>
    </w:p>
    <w:p w14:paraId="1F52C760" w14:textId="77777777" w:rsidR="0033675D" w:rsidRPr="00EE7169" w:rsidRDefault="0033675D" w:rsidP="00AC314F">
      <w:pPr>
        <w:spacing w:after="120" w:line="480" w:lineRule="auto"/>
        <w:rPr>
          <w:rFonts w:ascii="Garamond" w:hAnsi="Garamond"/>
          <w:sz w:val="24"/>
          <w:szCs w:val="24"/>
        </w:rPr>
      </w:pPr>
    </w:p>
    <w:p w14:paraId="39D8DF67" w14:textId="754D79F9" w:rsidR="00A2497E" w:rsidRPr="00EE7169" w:rsidRDefault="00A2497E" w:rsidP="00AC314F">
      <w:pPr>
        <w:spacing w:after="120" w:line="480" w:lineRule="auto"/>
        <w:rPr>
          <w:rFonts w:ascii="Garamond" w:hAnsi="Garamond"/>
          <w:sz w:val="24"/>
          <w:szCs w:val="24"/>
        </w:rPr>
      </w:pPr>
      <w:r w:rsidRPr="00EE7169">
        <w:rPr>
          <w:rFonts w:ascii="Garamond" w:hAnsi="Garamond"/>
          <w:b/>
          <w:sz w:val="24"/>
          <w:szCs w:val="24"/>
        </w:rPr>
        <w:t>3.4</w:t>
      </w:r>
      <w:r w:rsidR="00082440">
        <w:rPr>
          <w:rFonts w:ascii="Garamond" w:hAnsi="Garamond"/>
          <w:b/>
          <w:sz w:val="24"/>
          <w:szCs w:val="24"/>
        </w:rPr>
        <w:t>.</w:t>
      </w:r>
      <w:r w:rsidRPr="00EE7169">
        <w:rPr>
          <w:rFonts w:ascii="Garamond" w:hAnsi="Garamond"/>
          <w:b/>
          <w:sz w:val="24"/>
          <w:szCs w:val="24"/>
        </w:rPr>
        <w:t xml:space="preserve"> Omitted variables, agglomeration and endogeneity</w:t>
      </w:r>
      <w:r w:rsidR="000E79A6">
        <w:rPr>
          <w:rFonts w:ascii="Garamond" w:hAnsi="Garamond"/>
          <w:b/>
          <w:sz w:val="24"/>
          <w:szCs w:val="24"/>
        </w:rPr>
        <w:t xml:space="preserve"> </w:t>
      </w:r>
    </w:p>
    <w:p w14:paraId="4FFF3D7F" w14:textId="252D21E4" w:rsidR="00A2497E" w:rsidRPr="00EE7169" w:rsidRDefault="00082440" w:rsidP="00AC314F">
      <w:pPr>
        <w:spacing w:after="120" w:line="480" w:lineRule="auto"/>
        <w:rPr>
          <w:rFonts w:ascii="Garamond" w:hAnsi="Garamond"/>
          <w:sz w:val="24"/>
          <w:szCs w:val="24"/>
        </w:rPr>
      </w:pPr>
      <w:r>
        <w:rPr>
          <w:rFonts w:ascii="Garamond" w:hAnsi="Garamond"/>
          <w:sz w:val="24"/>
          <w:szCs w:val="24"/>
        </w:rPr>
        <w:t>A</w:t>
      </w:r>
      <w:r w:rsidR="00A2497E" w:rsidRPr="00EE7169">
        <w:rPr>
          <w:rFonts w:ascii="Garamond" w:hAnsi="Garamond"/>
          <w:sz w:val="24"/>
          <w:szCs w:val="24"/>
        </w:rPr>
        <w:t xml:space="preserve"> potential concern is that the decentralization decisions may be affected by particular circumstances faced by both the original oversight government and, </w:t>
      </w:r>
      <w:r w:rsidR="00451518">
        <w:rPr>
          <w:rFonts w:ascii="Garamond" w:hAnsi="Garamond"/>
          <w:sz w:val="24"/>
          <w:szCs w:val="24"/>
        </w:rPr>
        <w:t>in the case of decentralization</w:t>
      </w:r>
      <w:r w:rsidR="00A2497E" w:rsidRPr="00EE7169">
        <w:rPr>
          <w:rFonts w:ascii="Garamond" w:hAnsi="Garamond"/>
          <w:sz w:val="24"/>
          <w:szCs w:val="24"/>
        </w:rPr>
        <w:t>, the final oversight government at lower level. In such cases, the estimated effect of distance may only reflect the impact of omitted local economic environment. We thus</w:t>
      </w:r>
      <w:r w:rsidR="006D7C57">
        <w:rPr>
          <w:rFonts w:ascii="Garamond" w:hAnsi="Garamond"/>
          <w:sz w:val="24"/>
          <w:szCs w:val="24"/>
        </w:rPr>
        <w:t>, for all three subsamples of central, provincial, and municipal SOEs,</w:t>
      </w:r>
      <w:r w:rsidR="00A2497E" w:rsidRPr="00EE7169">
        <w:rPr>
          <w:rFonts w:ascii="Garamond" w:hAnsi="Garamond"/>
          <w:sz w:val="24"/>
          <w:szCs w:val="24"/>
        </w:rPr>
        <w:t xml:space="preserve"> include fiscal revenue per capita, GDP per capita, and fiscal autonomy (i.e., the ratio of fiscal revenue to fiscal expenditure in the firm’s county)—for both the original oversight government and the government level immediately below it.</w:t>
      </w:r>
      <w:r w:rsidR="006D7C57">
        <w:rPr>
          <w:rStyle w:val="FootnoteReference"/>
          <w:rFonts w:ascii="Garamond" w:hAnsi="Garamond"/>
          <w:sz w:val="24"/>
          <w:szCs w:val="24"/>
        </w:rPr>
        <w:footnoteReference w:id="12"/>
      </w:r>
      <w:r w:rsidR="00A2497E" w:rsidRPr="00EE7169">
        <w:rPr>
          <w:rFonts w:ascii="Garamond" w:hAnsi="Garamond"/>
          <w:sz w:val="24"/>
          <w:szCs w:val="24"/>
        </w:rPr>
        <w:t xml:space="preserve"> The results are shown in Table </w:t>
      </w:r>
      <w:r w:rsidR="000C3D3A">
        <w:rPr>
          <w:rFonts w:ascii="Garamond" w:hAnsi="Garamond"/>
          <w:sz w:val="24"/>
          <w:szCs w:val="24"/>
        </w:rPr>
        <w:t>6</w:t>
      </w:r>
      <w:r w:rsidR="00A2497E" w:rsidRPr="00EE7169">
        <w:rPr>
          <w:rFonts w:ascii="Garamond" w:hAnsi="Garamond"/>
          <w:sz w:val="24"/>
          <w:szCs w:val="24"/>
        </w:rPr>
        <w:t xml:space="preserve">. These additional oversight control variables barely matter in general, and the results on the distance are </w:t>
      </w:r>
      <w:r w:rsidR="00A2497E" w:rsidRPr="00EE7169">
        <w:rPr>
          <w:rFonts w:ascii="Garamond" w:hAnsi="Garamond"/>
          <w:sz w:val="24"/>
          <w:szCs w:val="24"/>
        </w:rPr>
        <w:lastRenderedPageBreak/>
        <w:t xml:space="preserve">similar to those in Table </w:t>
      </w:r>
      <w:r w:rsidR="006D7C57">
        <w:rPr>
          <w:rFonts w:ascii="Garamond" w:hAnsi="Garamond"/>
          <w:sz w:val="24"/>
          <w:szCs w:val="24"/>
        </w:rPr>
        <w:t>4</w:t>
      </w:r>
      <w:r w:rsidR="00A2497E" w:rsidRPr="00EE7169">
        <w:rPr>
          <w:rFonts w:ascii="Garamond" w:hAnsi="Garamond"/>
          <w:sz w:val="24"/>
          <w:szCs w:val="24"/>
        </w:rPr>
        <w:t xml:space="preserve">. </w:t>
      </w:r>
      <w:r w:rsidR="006D7C57">
        <w:rPr>
          <w:rFonts w:ascii="Garamond" w:hAnsi="Garamond"/>
          <w:sz w:val="24"/>
          <w:szCs w:val="24"/>
        </w:rPr>
        <w:t xml:space="preserve">Omitted variables related to fiscal circumstances of the governments thus cannot explain the distance-decentralization link. </w:t>
      </w:r>
    </w:p>
    <w:p w14:paraId="2B42F2FB" w14:textId="1F7DA57B" w:rsidR="007D68BF" w:rsidRDefault="007D68BF" w:rsidP="00AC314F">
      <w:pPr>
        <w:spacing w:after="120" w:line="480" w:lineRule="auto"/>
        <w:ind w:firstLineChars="300" w:firstLine="720"/>
        <w:rPr>
          <w:rFonts w:ascii="Garamond" w:hAnsi="Garamond"/>
          <w:sz w:val="24"/>
          <w:szCs w:val="24"/>
        </w:rPr>
      </w:pPr>
      <w:r>
        <w:rPr>
          <w:rFonts w:ascii="Garamond" w:hAnsi="Garamond"/>
          <w:sz w:val="24"/>
          <w:szCs w:val="24"/>
        </w:rPr>
        <w:t xml:space="preserve">In </w:t>
      </w:r>
      <w:r w:rsidR="00A2497E" w:rsidRPr="00EE7169">
        <w:rPr>
          <w:rFonts w:ascii="Garamond" w:hAnsi="Garamond"/>
          <w:sz w:val="24"/>
          <w:szCs w:val="24"/>
        </w:rPr>
        <w:t>China</w:t>
      </w:r>
      <w:r>
        <w:rPr>
          <w:rFonts w:ascii="Garamond" w:hAnsi="Garamond"/>
          <w:sz w:val="24"/>
          <w:szCs w:val="24"/>
        </w:rPr>
        <w:t>,</w:t>
      </w:r>
      <w:r w:rsidR="00A2497E" w:rsidRPr="00EE7169">
        <w:rPr>
          <w:rFonts w:ascii="Garamond" w:hAnsi="Garamond"/>
          <w:sz w:val="24"/>
          <w:szCs w:val="24"/>
        </w:rPr>
        <w:t xml:space="preserve"> political </w:t>
      </w:r>
      <w:r>
        <w:rPr>
          <w:rFonts w:ascii="Garamond" w:hAnsi="Garamond"/>
          <w:sz w:val="24"/>
          <w:szCs w:val="24"/>
        </w:rPr>
        <w:t xml:space="preserve">and economic </w:t>
      </w:r>
      <w:r w:rsidR="00A2497E" w:rsidRPr="00EE7169">
        <w:rPr>
          <w:rFonts w:ascii="Garamond" w:hAnsi="Garamond"/>
          <w:sz w:val="24"/>
          <w:szCs w:val="24"/>
        </w:rPr>
        <w:t xml:space="preserve">centers </w:t>
      </w:r>
      <w:r>
        <w:rPr>
          <w:rFonts w:ascii="Garamond" w:hAnsi="Garamond"/>
          <w:sz w:val="24"/>
          <w:szCs w:val="24"/>
        </w:rPr>
        <w:t>tend to overlap</w:t>
      </w:r>
      <w:r w:rsidR="00A2497E" w:rsidRPr="00EE7169">
        <w:rPr>
          <w:rFonts w:ascii="Garamond" w:hAnsi="Garamond"/>
          <w:sz w:val="24"/>
          <w:szCs w:val="24"/>
        </w:rPr>
        <w:t xml:space="preserve">. Beijing is </w:t>
      </w:r>
      <w:r w:rsidR="006D7C57">
        <w:rPr>
          <w:rFonts w:ascii="Garamond" w:hAnsi="Garamond"/>
          <w:sz w:val="24"/>
          <w:szCs w:val="24"/>
        </w:rPr>
        <w:t xml:space="preserve">not only </w:t>
      </w:r>
      <w:r w:rsidR="00A2497E" w:rsidRPr="00EE7169">
        <w:rPr>
          <w:rFonts w:ascii="Garamond" w:hAnsi="Garamond"/>
          <w:sz w:val="24"/>
          <w:szCs w:val="24"/>
        </w:rPr>
        <w:t xml:space="preserve">the political center </w:t>
      </w:r>
      <w:r w:rsidR="006D7C57">
        <w:rPr>
          <w:rFonts w:ascii="Garamond" w:hAnsi="Garamond"/>
          <w:sz w:val="24"/>
          <w:szCs w:val="24"/>
        </w:rPr>
        <w:t>but</w:t>
      </w:r>
      <w:r w:rsidR="00A2497E" w:rsidRPr="00EE7169">
        <w:rPr>
          <w:rFonts w:ascii="Garamond" w:hAnsi="Garamond"/>
          <w:sz w:val="24"/>
          <w:szCs w:val="24"/>
        </w:rPr>
        <w:t xml:space="preserve"> also a top</w:t>
      </w:r>
      <w:r w:rsidR="006D7C57">
        <w:rPr>
          <w:rFonts w:ascii="Garamond" w:hAnsi="Garamond"/>
          <w:sz w:val="24"/>
          <w:szCs w:val="24"/>
        </w:rPr>
        <w:t xml:space="preserve"> (economic)</w:t>
      </w:r>
      <w:r w:rsidR="00A2497E" w:rsidRPr="00EE7169">
        <w:rPr>
          <w:rFonts w:ascii="Garamond" w:hAnsi="Garamond"/>
          <w:sz w:val="24"/>
          <w:szCs w:val="24"/>
        </w:rPr>
        <w:t xml:space="preserve"> agglomeration center. </w:t>
      </w:r>
      <w:r w:rsidR="006D7C57">
        <w:rPr>
          <w:rFonts w:ascii="Garamond" w:hAnsi="Garamond"/>
          <w:sz w:val="24"/>
          <w:szCs w:val="24"/>
        </w:rPr>
        <w:t>Similarly,</w:t>
      </w:r>
      <w:r w:rsidR="00A2497E" w:rsidRPr="00EE7169">
        <w:rPr>
          <w:rFonts w:ascii="Garamond" w:hAnsi="Garamond"/>
          <w:sz w:val="24"/>
          <w:szCs w:val="24"/>
        </w:rPr>
        <w:t xml:space="preserve"> </w:t>
      </w:r>
      <w:r w:rsidR="006D7C57">
        <w:rPr>
          <w:rFonts w:ascii="Garamond" w:hAnsi="Garamond"/>
          <w:sz w:val="24"/>
          <w:szCs w:val="24"/>
        </w:rPr>
        <w:t>p</w:t>
      </w:r>
      <w:r w:rsidR="00A2497E" w:rsidRPr="00EE7169">
        <w:rPr>
          <w:rFonts w:ascii="Garamond" w:hAnsi="Garamond"/>
          <w:sz w:val="24"/>
          <w:szCs w:val="24"/>
        </w:rPr>
        <w:t xml:space="preserve">rovincial capitals tend to be the largest cities in the provinces. Thus, a natural concern is that the distance to oversight government really measures the distance to major economic agglomeration. </w:t>
      </w:r>
      <w:r w:rsidR="00A2497E" w:rsidRPr="00EE7169">
        <w:rPr>
          <w:rFonts w:ascii="Garamond" w:hAnsi="Garamond"/>
          <w:i/>
          <w:sz w:val="24"/>
          <w:szCs w:val="24"/>
        </w:rPr>
        <w:t>A priori</w:t>
      </w:r>
      <w:r w:rsidR="00A2497E" w:rsidRPr="00EE7169">
        <w:rPr>
          <w:rFonts w:ascii="Garamond" w:hAnsi="Garamond"/>
          <w:sz w:val="24"/>
          <w:szCs w:val="24"/>
        </w:rPr>
        <w:t xml:space="preserve"> there are no strong reasons why proximity to economic centers would matter for whether a</w:t>
      </w:r>
      <w:r w:rsidR="005904DD">
        <w:rPr>
          <w:rFonts w:ascii="Garamond" w:hAnsi="Garamond" w:hint="eastAsia"/>
          <w:sz w:val="24"/>
          <w:szCs w:val="24"/>
        </w:rPr>
        <w:t>n</w:t>
      </w:r>
      <w:r w:rsidR="00A2497E" w:rsidRPr="00EE7169">
        <w:rPr>
          <w:rFonts w:ascii="Garamond" w:hAnsi="Garamond"/>
          <w:sz w:val="24"/>
          <w:szCs w:val="24"/>
        </w:rPr>
        <w:t xml:space="preserve"> SOE should be governed in a decentralized way. Still, this is a relevant concern that we should </w:t>
      </w:r>
      <w:r>
        <w:rPr>
          <w:rFonts w:ascii="Garamond" w:hAnsi="Garamond"/>
          <w:sz w:val="24"/>
          <w:szCs w:val="24"/>
        </w:rPr>
        <w:t>take</w:t>
      </w:r>
      <w:r w:rsidR="00A2497E" w:rsidRPr="00EE7169">
        <w:rPr>
          <w:rFonts w:ascii="Garamond" w:hAnsi="Garamond"/>
          <w:sz w:val="24"/>
          <w:szCs w:val="24"/>
        </w:rPr>
        <w:t xml:space="preserve"> seriously. </w:t>
      </w:r>
    </w:p>
    <w:p w14:paraId="0DE70B21" w14:textId="13B93029" w:rsidR="00A2497E" w:rsidRPr="00EE7169" w:rsidRDefault="00A2497E" w:rsidP="00AC314F">
      <w:pPr>
        <w:spacing w:after="120" w:line="480" w:lineRule="auto"/>
        <w:ind w:firstLineChars="300" w:firstLine="720"/>
        <w:rPr>
          <w:rFonts w:ascii="Garamond" w:hAnsi="Garamond"/>
          <w:sz w:val="24"/>
          <w:szCs w:val="24"/>
        </w:rPr>
      </w:pPr>
      <w:r w:rsidRPr="00EE7169">
        <w:rPr>
          <w:rFonts w:ascii="Garamond" w:hAnsi="Garamond"/>
          <w:sz w:val="24"/>
          <w:szCs w:val="24"/>
        </w:rPr>
        <w:t>If this concern is valid, we should expect the distance of a</w:t>
      </w:r>
      <w:r w:rsidR="005904DD">
        <w:rPr>
          <w:rFonts w:ascii="Garamond" w:hAnsi="Garamond" w:hint="eastAsia"/>
          <w:sz w:val="24"/>
          <w:szCs w:val="24"/>
        </w:rPr>
        <w:t>n</w:t>
      </w:r>
      <w:r w:rsidRPr="00EE7169">
        <w:rPr>
          <w:rFonts w:ascii="Garamond" w:hAnsi="Garamond"/>
          <w:sz w:val="24"/>
          <w:szCs w:val="24"/>
        </w:rPr>
        <w:t xml:space="preserve"> SOE to other major agglomeration centers in the same oversight region to have positive effect on decentralization. To test the validity of this concern, we create a placebo distance measure (Placebo Distance)</w:t>
      </w:r>
      <w:r w:rsidR="007D68BF">
        <w:rPr>
          <w:rFonts w:ascii="Garamond" w:hAnsi="Garamond"/>
          <w:sz w:val="24"/>
          <w:szCs w:val="24"/>
        </w:rPr>
        <w:t xml:space="preserve"> as follows</w:t>
      </w:r>
      <w:r w:rsidRPr="00EE7169">
        <w:rPr>
          <w:rFonts w:ascii="Garamond" w:hAnsi="Garamond"/>
          <w:sz w:val="24"/>
          <w:szCs w:val="24"/>
        </w:rPr>
        <w:t xml:space="preserve">. </w:t>
      </w:r>
      <w:r w:rsidR="007D68BF">
        <w:rPr>
          <w:rFonts w:ascii="Garamond" w:hAnsi="Garamond"/>
          <w:sz w:val="24"/>
          <w:szCs w:val="24"/>
        </w:rPr>
        <w:t>For</w:t>
      </w:r>
      <w:r w:rsidRPr="00EE7169">
        <w:rPr>
          <w:rFonts w:ascii="Garamond" w:hAnsi="Garamond"/>
          <w:sz w:val="24"/>
          <w:szCs w:val="24"/>
        </w:rPr>
        <w:t xml:space="preserve"> central SOEs, Placebo Distance is the distance to Shanghai, another agglomeration center on par with the capital city of Beijing. For provincial SOEs, Placebo Distance is the distance to the largest city (other than the provincial capital) in the province. For </w:t>
      </w:r>
      <w:r w:rsidR="007E7CEB">
        <w:rPr>
          <w:rFonts w:ascii="Garamond" w:hAnsi="Garamond" w:hint="eastAsia"/>
          <w:sz w:val="24"/>
          <w:szCs w:val="24"/>
        </w:rPr>
        <w:t>municipal</w:t>
      </w:r>
      <w:r w:rsidRPr="00EE7169">
        <w:rPr>
          <w:rFonts w:ascii="Garamond" w:hAnsi="Garamond"/>
          <w:sz w:val="24"/>
          <w:szCs w:val="24"/>
        </w:rPr>
        <w:t xml:space="preserve"> SOEs, Placebo Distance is the distance to the largest county-level city (other than the city seat) within the </w:t>
      </w:r>
      <w:r w:rsidR="007E7CEB">
        <w:rPr>
          <w:rFonts w:ascii="Garamond" w:hAnsi="Garamond" w:hint="eastAsia"/>
          <w:sz w:val="24"/>
          <w:szCs w:val="24"/>
        </w:rPr>
        <w:t xml:space="preserve">same </w:t>
      </w:r>
      <w:r w:rsidRPr="00EE7169">
        <w:rPr>
          <w:rFonts w:ascii="Garamond" w:hAnsi="Garamond"/>
          <w:sz w:val="24"/>
          <w:szCs w:val="24"/>
        </w:rPr>
        <w:t xml:space="preserve">prefecture.  </w:t>
      </w:r>
      <w:r w:rsidR="007D68BF">
        <w:rPr>
          <w:rFonts w:ascii="Garamond" w:hAnsi="Garamond"/>
          <w:sz w:val="24"/>
          <w:szCs w:val="24"/>
        </w:rPr>
        <w:t>We re-run our baseline regressions using Placebo Distance to replace the real distance, and t</w:t>
      </w:r>
      <w:r w:rsidR="000C3D3A">
        <w:rPr>
          <w:rFonts w:ascii="Garamond" w:hAnsi="Garamond"/>
          <w:sz w:val="24"/>
          <w:szCs w:val="24"/>
        </w:rPr>
        <w:t>he results are in Table 7</w:t>
      </w:r>
      <w:r w:rsidRPr="00EE7169">
        <w:rPr>
          <w:rFonts w:ascii="Garamond" w:hAnsi="Garamond"/>
          <w:sz w:val="24"/>
          <w:szCs w:val="24"/>
        </w:rPr>
        <w:t>. For the pooled sample, Placebo Distance is completely insignificant. Thus, our key result on the positive effect of distance on decentralization of SOEs is not due to economic agglomeration.</w:t>
      </w:r>
      <w:r w:rsidR="00091F91" w:rsidRPr="00EE7169">
        <w:rPr>
          <w:rFonts w:ascii="Garamond" w:hAnsi="Garamond"/>
          <w:sz w:val="24"/>
          <w:szCs w:val="24"/>
        </w:rPr>
        <w:t xml:space="preserve"> </w:t>
      </w:r>
    </w:p>
    <w:p w14:paraId="73A2AA3B" w14:textId="45E507A0" w:rsidR="00A2497E" w:rsidRPr="00EE7169" w:rsidRDefault="00A2497E" w:rsidP="00AC314F">
      <w:pPr>
        <w:spacing w:after="120" w:line="480" w:lineRule="auto"/>
        <w:ind w:firstLineChars="300" w:firstLine="720"/>
        <w:rPr>
          <w:rFonts w:ascii="Garamond" w:hAnsi="Garamond"/>
          <w:sz w:val="24"/>
          <w:szCs w:val="24"/>
        </w:rPr>
      </w:pPr>
      <w:r w:rsidRPr="00EE7169">
        <w:rPr>
          <w:rFonts w:ascii="Garamond" w:hAnsi="Garamond"/>
          <w:sz w:val="24"/>
          <w:szCs w:val="24"/>
        </w:rPr>
        <w:t>Another relevant concern is that the distance of a</w:t>
      </w:r>
      <w:r w:rsidR="005904DD">
        <w:rPr>
          <w:rFonts w:ascii="Garamond" w:hAnsi="Garamond" w:hint="eastAsia"/>
          <w:sz w:val="24"/>
          <w:szCs w:val="24"/>
        </w:rPr>
        <w:t>n</w:t>
      </w:r>
      <w:r w:rsidRPr="00EE7169">
        <w:rPr>
          <w:rFonts w:ascii="Garamond" w:hAnsi="Garamond"/>
          <w:sz w:val="24"/>
          <w:szCs w:val="24"/>
        </w:rPr>
        <w:t xml:space="preserve"> SOE to its oversight government may be endogenous. For instance, far-away SOEs may be systematically less important. To examine this possibility, we now try to find exogenous source of variations for the distance. We exploit a large wave of SOE migration happened in the 1960s and the 1970s due to the so-called Third Front Construction </w:t>
      </w:r>
      <w:r w:rsidR="00D906B1">
        <w:rPr>
          <w:rFonts w:ascii="Garamond" w:hAnsi="Garamond"/>
          <w:sz w:val="24"/>
          <w:szCs w:val="24"/>
        </w:rPr>
        <w:t xml:space="preserve">(TFC) </w:t>
      </w:r>
      <w:r w:rsidRPr="00EE7169">
        <w:rPr>
          <w:rFonts w:ascii="Garamond" w:hAnsi="Garamond"/>
          <w:sz w:val="24"/>
          <w:szCs w:val="24"/>
        </w:rPr>
        <w:t xml:space="preserve">program. </w:t>
      </w:r>
      <w:r w:rsidR="00D906B1">
        <w:rPr>
          <w:rFonts w:ascii="Garamond" w:hAnsi="Garamond"/>
          <w:sz w:val="24"/>
          <w:szCs w:val="24"/>
        </w:rPr>
        <w:t>TFC</w:t>
      </w:r>
      <w:r w:rsidRPr="00EE7169">
        <w:rPr>
          <w:rFonts w:ascii="Garamond" w:hAnsi="Garamond"/>
          <w:sz w:val="24"/>
          <w:szCs w:val="24"/>
        </w:rPr>
        <w:t xml:space="preserve"> was </w:t>
      </w:r>
      <w:r w:rsidR="005A60E1" w:rsidRPr="00EE7169">
        <w:rPr>
          <w:rFonts w:ascii="Garamond" w:hAnsi="Garamond"/>
          <w:sz w:val="24"/>
          <w:szCs w:val="24"/>
        </w:rPr>
        <w:t xml:space="preserve">implemented in response to the </w:t>
      </w:r>
      <w:r w:rsidRPr="00EE7169">
        <w:rPr>
          <w:rFonts w:ascii="Garamond" w:hAnsi="Garamond"/>
          <w:sz w:val="24"/>
          <w:szCs w:val="24"/>
        </w:rPr>
        <w:t xml:space="preserve">perceived threat from Soviet Union and </w:t>
      </w:r>
      <w:r w:rsidRPr="00EE7169">
        <w:rPr>
          <w:rFonts w:ascii="Garamond" w:hAnsi="Garamond"/>
          <w:sz w:val="24"/>
          <w:szCs w:val="24"/>
        </w:rPr>
        <w:lastRenderedPageBreak/>
        <w:t xml:space="preserve">U.S for major wars (Figure 4 shows the number of firms established under this program during 1961-1985). This exogenously changed the distance of many SOEs to their oversight government. We thus construct a dummy variable Third Front, which is one if a firm was established during </w:t>
      </w:r>
      <w:r w:rsidR="00451518" w:rsidRPr="00EE7169">
        <w:rPr>
          <w:rFonts w:ascii="Garamond" w:hAnsi="Garamond"/>
          <w:sz w:val="24"/>
          <w:szCs w:val="24"/>
        </w:rPr>
        <w:t>196</w:t>
      </w:r>
      <w:r w:rsidR="00451518">
        <w:rPr>
          <w:rFonts w:ascii="Garamond" w:hAnsi="Garamond"/>
          <w:sz w:val="24"/>
          <w:szCs w:val="24"/>
        </w:rPr>
        <w:t>4</w:t>
      </w:r>
      <w:r w:rsidRPr="00EE7169">
        <w:rPr>
          <w:rFonts w:ascii="Garamond" w:hAnsi="Garamond"/>
          <w:sz w:val="24"/>
          <w:szCs w:val="24"/>
        </w:rPr>
        <w:t>-1966 or 1969-</w:t>
      </w:r>
      <w:r w:rsidR="00451518" w:rsidRPr="00EE7169">
        <w:rPr>
          <w:rFonts w:ascii="Garamond" w:hAnsi="Garamond"/>
          <w:sz w:val="24"/>
          <w:szCs w:val="24"/>
        </w:rPr>
        <w:t>197</w:t>
      </w:r>
      <w:r w:rsidR="00451518">
        <w:rPr>
          <w:rFonts w:ascii="Garamond" w:hAnsi="Garamond"/>
          <w:sz w:val="24"/>
          <w:szCs w:val="24"/>
        </w:rPr>
        <w:t>2</w:t>
      </w:r>
      <w:r w:rsidR="00451518" w:rsidRPr="00EE7169">
        <w:rPr>
          <w:rFonts w:ascii="Garamond" w:hAnsi="Garamond"/>
          <w:sz w:val="24"/>
          <w:szCs w:val="24"/>
        </w:rPr>
        <w:t xml:space="preserve"> </w:t>
      </w:r>
      <w:r w:rsidRPr="00EE7169">
        <w:rPr>
          <w:rFonts w:ascii="Garamond" w:hAnsi="Garamond"/>
          <w:sz w:val="24"/>
          <w:szCs w:val="24"/>
        </w:rPr>
        <w:t xml:space="preserve">in the </w:t>
      </w:r>
      <w:r w:rsidR="00D906B1">
        <w:rPr>
          <w:rFonts w:ascii="Garamond" w:hAnsi="Garamond"/>
          <w:sz w:val="24"/>
          <w:szCs w:val="24"/>
        </w:rPr>
        <w:t>TFC</w:t>
      </w:r>
      <w:r w:rsidRPr="00EE7169">
        <w:rPr>
          <w:rFonts w:ascii="Garamond" w:hAnsi="Garamond"/>
          <w:sz w:val="24"/>
          <w:szCs w:val="24"/>
        </w:rPr>
        <w:t xml:space="preserve"> Region (Li and Long, 2013). </w:t>
      </w:r>
    </w:p>
    <w:p w14:paraId="16749224" w14:textId="5B5790E3" w:rsidR="00AB601F" w:rsidRDefault="00AB601F" w:rsidP="00AB601F">
      <w:pPr>
        <w:spacing w:after="120" w:line="480" w:lineRule="auto"/>
        <w:ind w:firstLineChars="300" w:firstLine="720"/>
        <w:rPr>
          <w:rFonts w:ascii="Garamond" w:hAnsi="Garamond"/>
          <w:sz w:val="24"/>
          <w:szCs w:val="24"/>
        </w:rPr>
      </w:pPr>
      <w:r>
        <w:rPr>
          <w:rFonts w:ascii="Garamond" w:hAnsi="Garamond"/>
          <w:sz w:val="24"/>
          <w:szCs w:val="24"/>
        </w:rPr>
        <w:t>Table 8</w:t>
      </w:r>
      <w:r w:rsidRPr="00EE7169">
        <w:rPr>
          <w:rFonts w:ascii="Garamond" w:hAnsi="Garamond"/>
          <w:sz w:val="24"/>
          <w:szCs w:val="24"/>
        </w:rPr>
        <w:t xml:space="preserve"> reports the </w:t>
      </w:r>
      <w:r>
        <w:rPr>
          <w:rFonts w:ascii="Garamond" w:hAnsi="Garamond"/>
          <w:sz w:val="24"/>
          <w:szCs w:val="24"/>
        </w:rPr>
        <w:t>IV regression results using various specifications.</w:t>
      </w:r>
      <w:r w:rsidRPr="008B5FD5">
        <w:rPr>
          <w:rFonts w:ascii="Garamond" w:hAnsi="Garamond"/>
          <w:sz w:val="24"/>
          <w:szCs w:val="24"/>
        </w:rPr>
        <w:t xml:space="preserve"> </w:t>
      </w:r>
      <w:r>
        <w:rPr>
          <w:rFonts w:ascii="Garamond" w:hAnsi="Garamond"/>
          <w:sz w:val="24"/>
          <w:szCs w:val="24"/>
        </w:rPr>
        <w:t>In general, our instrument seems to be valid and generates meaningful results. In the first stage regressions, we get significant positive effects of the TF</w:t>
      </w:r>
      <w:r w:rsidR="005904DD">
        <w:rPr>
          <w:rFonts w:ascii="Garamond" w:hAnsi="Garamond" w:hint="eastAsia"/>
          <w:sz w:val="24"/>
          <w:szCs w:val="24"/>
        </w:rPr>
        <w:t>C</w:t>
      </w:r>
      <w:r>
        <w:rPr>
          <w:rFonts w:ascii="Garamond" w:hAnsi="Garamond"/>
          <w:sz w:val="24"/>
          <w:szCs w:val="24"/>
        </w:rPr>
        <w:t xml:space="preserve"> dummy on distance, suggesting that the political</w:t>
      </w:r>
      <w:r w:rsidR="00D4748E">
        <w:rPr>
          <w:rFonts w:ascii="Garamond" w:hAnsi="Garamond"/>
          <w:sz w:val="24"/>
          <w:szCs w:val="24"/>
        </w:rPr>
        <w:t>ly-motivated TFC</w:t>
      </w:r>
      <w:r>
        <w:rPr>
          <w:rFonts w:ascii="Garamond" w:hAnsi="Garamond"/>
          <w:sz w:val="24"/>
          <w:szCs w:val="24"/>
        </w:rPr>
        <w:t xml:space="preserve"> relocation did increase the distance between the firm and the </w:t>
      </w:r>
      <w:r w:rsidR="005904DD">
        <w:rPr>
          <w:rFonts w:ascii="Garamond" w:hAnsi="Garamond" w:hint="eastAsia"/>
          <w:sz w:val="24"/>
          <w:szCs w:val="24"/>
        </w:rPr>
        <w:t xml:space="preserve">oversight </w:t>
      </w:r>
      <w:r>
        <w:rPr>
          <w:rFonts w:ascii="Garamond" w:hAnsi="Garamond"/>
          <w:sz w:val="24"/>
          <w:szCs w:val="24"/>
        </w:rPr>
        <w:t>government. Distance get</w:t>
      </w:r>
      <w:r w:rsidR="005904DD">
        <w:rPr>
          <w:rFonts w:ascii="Garamond" w:hAnsi="Garamond" w:hint="eastAsia"/>
          <w:sz w:val="24"/>
          <w:szCs w:val="24"/>
        </w:rPr>
        <w:t>s</w:t>
      </w:r>
      <w:r>
        <w:rPr>
          <w:rFonts w:ascii="Garamond" w:hAnsi="Garamond"/>
          <w:sz w:val="24"/>
          <w:szCs w:val="24"/>
        </w:rPr>
        <w:t xml:space="preserve"> the same positive and significant effect on the likelihood of decentralization in the second-stage regressions. When we </w:t>
      </w:r>
      <w:r w:rsidR="006C2CA6">
        <w:rPr>
          <w:rFonts w:ascii="Garamond" w:hAnsi="Garamond" w:hint="eastAsia"/>
          <w:sz w:val="24"/>
          <w:szCs w:val="24"/>
        </w:rPr>
        <w:t xml:space="preserve">only </w:t>
      </w:r>
      <w:r>
        <w:rPr>
          <w:rFonts w:ascii="Garamond" w:hAnsi="Garamond"/>
          <w:sz w:val="24"/>
          <w:szCs w:val="24"/>
        </w:rPr>
        <w:t>control for provinc</w:t>
      </w:r>
      <w:r w:rsidR="00E51C85">
        <w:rPr>
          <w:rFonts w:ascii="Garamond" w:hAnsi="Garamond" w:hint="eastAsia"/>
          <w:sz w:val="24"/>
          <w:szCs w:val="24"/>
        </w:rPr>
        <w:t>e</w:t>
      </w:r>
      <w:r>
        <w:rPr>
          <w:rFonts w:ascii="Garamond" w:hAnsi="Garamond"/>
          <w:sz w:val="24"/>
          <w:szCs w:val="24"/>
        </w:rPr>
        <w:t xml:space="preserve"> </w:t>
      </w:r>
      <w:r w:rsidR="006C2CA6">
        <w:rPr>
          <w:rFonts w:ascii="Garamond" w:hAnsi="Garamond" w:hint="eastAsia"/>
          <w:sz w:val="24"/>
          <w:szCs w:val="24"/>
        </w:rPr>
        <w:t>dummies</w:t>
      </w:r>
      <w:r>
        <w:rPr>
          <w:rFonts w:ascii="Garamond" w:hAnsi="Garamond"/>
          <w:sz w:val="24"/>
          <w:szCs w:val="24"/>
        </w:rPr>
        <w:t>, the first-stage F-statistics is 18.48</w:t>
      </w:r>
      <w:r w:rsidR="006C2CA6">
        <w:rPr>
          <w:rFonts w:ascii="Garamond" w:hAnsi="Garamond" w:hint="eastAsia"/>
          <w:sz w:val="24"/>
          <w:szCs w:val="24"/>
        </w:rPr>
        <w:t xml:space="preserve"> (column </w:t>
      </w:r>
      <w:r w:rsidR="00E51C85">
        <w:rPr>
          <w:rFonts w:ascii="Garamond" w:hAnsi="Garamond" w:hint="eastAsia"/>
          <w:sz w:val="24"/>
          <w:szCs w:val="24"/>
        </w:rPr>
        <w:t>1</w:t>
      </w:r>
      <w:r w:rsidR="006C2CA6">
        <w:rPr>
          <w:rFonts w:ascii="Garamond" w:hAnsi="Garamond" w:hint="eastAsia"/>
          <w:sz w:val="24"/>
          <w:szCs w:val="24"/>
        </w:rPr>
        <w:t>)</w:t>
      </w:r>
      <w:r>
        <w:rPr>
          <w:rFonts w:ascii="Garamond" w:hAnsi="Garamond"/>
          <w:sz w:val="24"/>
          <w:szCs w:val="24"/>
        </w:rPr>
        <w:t xml:space="preserve">. When we put more controls and include </w:t>
      </w:r>
      <w:r w:rsidR="006C2CA6">
        <w:rPr>
          <w:rFonts w:ascii="Garamond" w:hAnsi="Garamond" w:hint="eastAsia"/>
          <w:sz w:val="24"/>
          <w:szCs w:val="24"/>
        </w:rPr>
        <w:t xml:space="preserve">all </w:t>
      </w:r>
      <w:r>
        <w:rPr>
          <w:rFonts w:ascii="Garamond" w:hAnsi="Garamond"/>
          <w:sz w:val="24"/>
          <w:szCs w:val="24"/>
        </w:rPr>
        <w:t xml:space="preserve">the </w:t>
      </w:r>
      <w:r w:rsidR="006C2CA6">
        <w:rPr>
          <w:rFonts w:ascii="Garamond" w:hAnsi="Garamond" w:hint="eastAsia"/>
          <w:sz w:val="24"/>
          <w:szCs w:val="24"/>
        </w:rPr>
        <w:t>363</w:t>
      </w:r>
      <w:r>
        <w:rPr>
          <w:rFonts w:ascii="Garamond" w:hAnsi="Garamond"/>
          <w:sz w:val="24"/>
          <w:szCs w:val="24"/>
        </w:rPr>
        <w:t xml:space="preserve"> oversight</w:t>
      </w:r>
      <w:r w:rsidR="006C2CA6">
        <w:rPr>
          <w:rFonts w:ascii="Garamond" w:hAnsi="Garamond" w:hint="eastAsia"/>
          <w:sz w:val="24"/>
          <w:szCs w:val="24"/>
        </w:rPr>
        <w:t xml:space="preserve"> </w:t>
      </w:r>
      <w:r>
        <w:rPr>
          <w:rFonts w:ascii="Garamond" w:hAnsi="Garamond"/>
          <w:sz w:val="24"/>
          <w:szCs w:val="24"/>
        </w:rPr>
        <w:t xml:space="preserve">government dummies, </w:t>
      </w:r>
      <w:r w:rsidR="00D4748E">
        <w:rPr>
          <w:rFonts w:ascii="Garamond" w:hAnsi="Garamond"/>
          <w:sz w:val="24"/>
          <w:szCs w:val="24"/>
        </w:rPr>
        <w:t xml:space="preserve">which likely takes away a significant portion of the variations in </w:t>
      </w:r>
      <w:r w:rsidR="00D4748E">
        <w:rPr>
          <w:rFonts w:ascii="Garamond" w:hAnsi="Garamond"/>
          <w:i/>
          <w:sz w:val="24"/>
          <w:szCs w:val="24"/>
        </w:rPr>
        <w:t>Distance</w:t>
      </w:r>
      <w:r w:rsidR="00D4748E">
        <w:rPr>
          <w:rFonts w:ascii="Garamond" w:hAnsi="Garamond"/>
          <w:sz w:val="24"/>
          <w:szCs w:val="24"/>
        </w:rPr>
        <w:t>,</w:t>
      </w:r>
      <w:r w:rsidR="00D4748E">
        <w:rPr>
          <w:rFonts w:ascii="Garamond" w:hAnsi="Garamond"/>
          <w:i/>
          <w:sz w:val="24"/>
          <w:szCs w:val="24"/>
        </w:rPr>
        <w:t xml:space="preserve"> </w:t>
      </w:r>
      <w:r>
        <w:rPr>
          <w:rFonts w:ascii="Garamond" w:hAnsi="Garamond"/>
          <w:sz w:val="24"/>
          <w:szCs w:val="24"/>
        </w:rPr>
        <w:t>the F-statistics drops to 4.85</w:t>
      </w:r>
      <w:r w:rsidR="006C2CA6">
        <w:rPr>
          <w:rFonts w:ascii="Garamond" w:hAnsi="Garamond" w:hint="eastAsia"/>
          <w:sz w:val="24"/>
          <w:szCs w:val="24"/>
        </w:rPr>
        <w:t xml:space="preserve"> (columns </w:t>
      </w:r>
      <w:r w:rsidR="00E51C85">
        <w:rPr>
          <w:rFonts w:ascii="Garamond" w:hAnsi="Garamond" w:hint="eastAsia"/>
          <w:sz w:val="24"/>
          <w:szCs w:val="24"/>
        </w:rPr>
        <w:t>4</w:t>
      </w:r>
      <w:r w:rsidR="006C2CA6">
        <w:rPr>
          <w:rFonts w:ascii="Garamond" w:hAnsi="Garamond" w:hint="eastAsia"/>
          <w:sz w:val="24"/>
          <w:szCs w:val="24"/>
        </w:rPr>
        <w:t xml:space="preserve"> and </w:t>
      </w:r>
      <w:r w:rsidR="00E51C85">
        <w:rPr>
          <w:rFonts w:ascii="Garamond" w:hAnsi="Garamond" w:hint="eastAsia"/>
          <w:sz w:val="24"/>
          <w:szCs w:val="24"/>
        </w:rPr>
        <w:t>6</w:t>
      </w:r>
      <w:r w:rsidR="006C2CA6">
        <w:rPr>
          <w:rFonts w:ascii="Garamond" w:hAnsi="Garamond" w:hint="eastAsia"/>
          <w:sz w:val="24"/>
          <w:szCs w:val="24"/>
        </w:rPr>
        <w:t>)</w:t>
      </w:r>
      <w:r>
        <w:rPr>
          <w:rFonts w:ascii="Garamond" w:hAnsi="Garamond"/>
          <w:sz w:val="24"/>
          <w:szCs w:val="24"/>
        </w:rPr>
        <w:t xml:space="preserve">. </w:t>
      </w:r>
      <w:r w:rsidRPr="00EE7169">
        <w:rPr>
          <w:rFonts w:ascii="Garamond" w:hAnsi="Garamond"/>
          <w:sz w:val="24"/>
          <w:szCs w:val="24"/>
        </w:rPr>
        <w:t>However,</w:t>
      </w:r>
      <w:r>
        <w:rPr>
          <w:rFonts w:ascii="Garamond" w:hAnsi="Garamond"/>
          <w:sz w:val="24"/>
          <w:szCs w:val="24"/>
        </w:rPr>
        <w:t xml:space="preserve"> </w:t>
      </w:r>
      <w:r w:rsidR="00D4748E">
        <w:rPr>
          <w:rFonts w:ascii="Garamond" w:hAnsi="Garamond"/>
          <w:sz w:val="24"/>
          <w:szCs w:val="24"/>
        </w:rPr>
        <w:t xml:space="preserve">even </w:t>
      </w:r>
      <w:r>
        <w:rPr>
          <w:rFonts w:ascii="Garamond" w:hAnsi="Garamond"/>
          <w:sz w:val="24"/>
          <w:szCs w:val="24"/>
        </w:rPr>
        <w:t>in this case</w:t>
      </w:r>
      <w:r w:rsidRPr="00EE7169">
        <w:rPr>
          <w:rFonts w:ascii="Garamond" w:hAnsi="Garamond"/>
          <w:sz w:val="24"/>
          <w:szCs w:val="24"/>
        </w:rPr>
        <w:t xml:space="preserve"> the IV regressions do pass the Anderson-Rubin test, suggesting that the variable Distance is significant </w:t>
      </w:r>
      <w:r>
        <w:rPr>
          <w:rFonts w:ascii="Garamond" w:hAnsi="Garamond"/>
          <w:sz w:val="24"/>
          <w:szCs w:val="24"/>
        </w:rPr>
        <w:t>even</w:t>
      </w:r>
      <w:r w:rsidRPr="00EE7169">
        <w:rPr>
          <w:rFonts w:ascii="Garamond" w:hAnsi="Garamond"/>
          <w:sz w:val="24"/>
          <w:szCs w:val="24"/>
        </w:rPr>
        <w:t xml:space="preserve"> in the event of weak IV</w:t>
      </w:r>
      <w:r w:rsidR="00E51C85">
        <w:rPr>
          <w:rFonts w:ascii="Garamond" w:hAnsi="Garamond" w:hint="eastAsia"/>
          <w:sz w:val="24"/>
          <w:szCs w:val="24"/>
        </w:rPr>
        <w:t xml:space="preserve"> (see column 6)</w:t>
      </w:r>
      <w:r w:rsidRPr="00EE7169">
        <w:rPr>
          <w:rFonts w:ascii="Garamond" w:hAnsi="Garamond"/>
          <w:sz w:val="24"/>
          <w:szCs w:val="24"/>
        </w:rPr>
        <w:t xml:space="preserve">. </w:t>
      </w:r>
      <w:r w:rsidR="00D4748E">
        <w:rPr>
          <w:rFonts w:ascii="Garamond" w:hAnsi="Garamond"/>
          <w:sz w:val="24"/>
          <w:szCs w:val="24"/>
        </w:rPr>
        <w:t xml:space="preserve">Nevertheless, we note that the qualitative results of a significant positive effect of </w:t>
      </w:r>
      <w:r w:rsidR="00D4748E">
        <w:rPr>
          <w:rFonts w:ascii="Garamond" w:hAnsi="Garamond"/>
          <w:i/>
          <w:sz w:val="24"/>
          <w:szCs w:val="24"/>
        </w:rPr>
        <w:t xml:space="preserve">Distance </w:t>
      </w:r>
      <w:r w:rsidR="00D4748E">
        <w:rPr>
          <w:rFonts w:ascii="Garamond" w:hAnsi="Garamond"/>
          <w:sz w:val="24"/>
          <w:szCs w:val="24"/>
        </w:rPr>
        <w:t>on decentralization remain intact. Since</w:t>
      </w:r>
      <w:r w:rsidRPr="00EE7169">
        <w:rPr>
          <w:rFonts w:ascii="Garamond" w:hAnsi="Garamond"/>
          <w:sz w:val="24"/>
          <w:szCs w:val="24"/>
        </w:rPr>
        <w:t xml:space="preserve"> </w:t>
      </w:r>
      <w:r w:rsidR="00D4748E">
        <w:rPr>
          <w:rFonts w:ascii="Garamond" w:hAnsi="Garamond"/>
          <w:sz w:val="24"/>
          <w:szCs w:val="24"/>
        </w:rPr>
        <w:t>t</w:t>
      </w:r>
      <w:r w:rsidRPr="00EE7169">
        <w:rPr>
          <w:rFonts w:ascii="Garamond" w:hAnsi="Garamond"/>
          <w:sz w:val="24"/>
          <w:szCs w:val="24"/>
        </w:rPr>
        <w:t xml:space="preserve">he results </w:t>
      </w:r>
      <w:r>
        <w:rPr>
          <w:rFonts w:ascii="Garamond" w:hAnsi="Garamond"/>
          <w:sz w:val="24"/>
          <w:szCs w:val="24"/>
        </w:rPr>
        <w:t xml:space="preserve">from the </w:t>
      </w:r>
      <w:r w:rsidRPr="00EE7169">
        <w:rPr>
          <w:rFonts w:ascii="Garamond" w:hAnsi="Garamond"/>
          <w:sz w:val="24"/>
          <w:szCs w:val="24"/>
        </w:rPr>
        <w:t xml:space="preserve">IV probit and </w:t>
      </w:r>
      <w:r w:rsidR="006C2CA6">
        <w:rPr>
          <w:rFonts w:ascii="Garamond" w:hAnsi="Garamond" w:hint="eastAsia"/>
          <w:sz w:val="24"/>
          <w:szCs w:val="24"/>
        </w:rPr>
        <w:t>the</w:t>
      </w:r>
      <w:r w:rsidRPr="00EE7169">
        <w:rPr>
          <w:rFonts w:ascii="Garamond" w:hAnsi="Garamond"/>
          <w:sz w:val="24"/>
          <w:szCs w:val="24"/>
        </w:rPr>
        <w:t xml:space="preserve"> two-stage least square (2SLS) model</w:t>
      </w:r>
      <w:r w:rsidR="006C2CA6">
        <w:rPr>
          <w:rFonts w:ascii="Garamond" w:hAnsi="Garamond" w:hint="eastAsia"/>
          <w:sz w:val="24"/>
          <w:szCs w:val="24"/>
        </w:rPr>
        <w:t>s</w:t>
      </w:r>
      <w:r>
        <w:rPr>
          <w:rFonts w:ascii="Garamond" w:hAnsi="Garamond"/>
          <w:sz w:val="24"/>
          <w:szCs w:val="24"/>
        </w:rPr>
        <w:t xml:space="preserve"> </w:t>
      </w:r>
      <w:r w:rsidRPr="00EE7169">
        <w:rPr>
          <w:rFonts w:ascii="Garamond" w:hAnsi="Garamond"/>
          <w:sz w:val="24"/>
          <w:szCs w:val="24"/>
        </w:rPr>
        <w:t>are similar</w:t>
      </w:r>
      <w:r w:rsidR="00D4748E">
        <w:rPr>
          <w:rFonts w:ascii="Garamond" w:hAnsi="Garamond"/>
          <w:sz w:val="24"/>
          <w:szCs w:val="24"/>
        </w:rPr>
        <w:t>,</w:t>
      </w:r>
      <w:r w:rsidRPr="00EE7169">
        <w:rPr>
          <w:rFonts w:ascii="Garamond" w:hAnsi="Garamond"/>
          <w:sz w:val="24"/>
          <w:szCs w:val="24"/>
        </w:rPr>
        <w:t xml:space="preserve"> we shall focus on the 2SLS results. As expected, being a </w:t>
      </w:r>
      <w:r>
        <w:rPr>
          <w:rFonts w:ascii="Garamond" w:hAnsi="Garamond"/>
          <w:sz w:val="24"/>
          <w:szCs w:val="24"/>
        </w:rPr>
        <w:t>Third-Front-Construction</w:t>
      </w:r>
      <w:r w:rsidRPr="00EE7169">
        <w:rPr>
          <w:rFonts w:ascii="Garamond" w:hAnsi="Garamond"/>
          <w:sz w:val="24"/>
          <w:szCs w:val="24"/>
        </w:rPr>
        <w:t xml:space="preserve"> SOE would increase log distance by 0.19, and it is statistically significant at the 5% level. Once corrected for endogeneity, the distance remains exerting a positive influence on decentralization, and the coefficient increases to 0.03 (from 0.006). The results thus confirm the key importance of the </w:t>
      </w:r>
      <w:r>
        <w:rPr>
          <w:rFonts w:ascii="Garamond" w:hAnsi="Garamond"/>
          <w:sz w:val="24"/>
          <w:szCs w:val="24"/>
        </w:rPr>
        <w:t>distance between enterprises and their oversight government.</w:t>
      </w:r>
    </w:p>
    <w:p w14:paraId="1117306B" w14:textId="77777777" w:rsidR="00AB601F" w:rsidRPr="008B5FD5" w:rsidRDefault="00AB601F" w:rsidP="00AB601F"/>
    <w:p w14:paraId="48E36968" w14:textId="761DBAEB" w:rsidR="00A2497E" w:rsidRPr="00EE7169" w:rsidRDefault="00A2497E" w:rsidP="00AC314F">
      <w:pPr>
        <w:spacing w:after="120" w:line="480" w:lineRule="auto"/>
        <w:rPr>
          <w:rFonts w:ascii="Garamond" w:hAnsi="Garamond"/>
          <w:b/>
          <w:sz w:val="24"/>
          <w:szCs w:val="24"/>
        </w:rPr>
      </w:pPr>
      <w:r w:rsidRPr="00EE7169">
        <w:rPr>
          <w:rFonts w:ascii="Garamond" w:hAnsi="Garamond"/>
          <w:b/>
          <w:sz w:val="24"/>
          <w:szCs w:val="24"/>
        </w:rPr>
        <w:t>3.5</w:t>
      </w:r>
      <w:bookmarkStart w:id="0" w:name="_GoBack"/>
      <w:r w:rsidR="0014351B">
        <w:rPr>
          <w:rFonts w:ascii="Garamond" w:hAnsi="Garamond"/>
          <w:b/>
          <w:sz w:val="24"/>
          <w:szCs w:val="24"/>
        </w:rPr>
        <w:t>.</w:t>
      </w:r>
      <w:bookmarkEnd w:id="0"/>
      <w:r w:rsidRPr="00EE7169">
        <w:rPr>
          <w:rFonts w:ascii="Garamond" w:hAnsi="Garamond"/>
          <w:b/>
          <w:sz w:val="24"/>
          <w:szCs w:val="24"/>
        </w:rPr>
        <w:t xml:space="preserve"> The Mechanisms of Distance on Decentralization</w:t>
      </w:r>
    </w:p>
    <w:p w14:paraId="1F84CAE9" w14:textId="77777777" w:rsidR="000F373C" w:rsidRDefault="00A2497E" w:rsidP="00AC314F">
      <w:pPr>
        <w:spacing w:after="120" w:line="480" w:lineRule="auto"/>
        <w:rPr>
          <w:rFonts w:ascii="Garamond" w:hAnsi="Garamond"/>
          <w:sz w:val="24"/>
          <w:szCs w:val="24"/>
        </w:rPr>
      </w:pPr>
      <w:r w:rsidRPr="00EE7169">
        <w:rPr>
          <w:rFonts w:ascii="Garamond" w:hAnsi="Garamond"/>
          <w:sz w:val="24"/>
          <w:szCs w:val="24"/>
        </w:rPr>
        <w:lastRenderedPageBreak/>
        <w:t>In the conceptual framework</w:t>
      </w:r>
      <w:r w:rsidR="00C96C01">
        <w:rPr>
          <w:rFonts w:ascii="Garamond" w:hAnsi="Garamond"/>
          <w:sz w:val="24"/>
          <w:szCs w:val="24"/>
        </w:rPr>
        <w:t>,</w:t>
      </w:r>
      <w:r w:rsidRPr="00EE7169">
        <w:rPr>
          <w:rFonts w:ascii="Garamond" w:hAnsi="Garamond"/>
          <w:sz w:val="24"/>
          <w:szCs w:val="24"/>
        </w:rPr>
        <w:t xml:space="preserve"> we predict that the decentralization-distance link would be stronger for firms with higher communication costs or with higher performance uncertainty. </w:t>
      </w:r>
      <w:r w:rsidR="00C96C01">
        <w:rPr>
          <w:rFonts w:ascii="Garamond" w:hAnsi="Garamond"/>
          <w:sz w:val="24"/>
          <w:szCs w:val="24"/>
        </w:rPr>
        <w:t xml:space="preserve">To test this, we need measurements. </w:t>
      </w:r>
    </w:p>
    <w:p w14:paraId="5BD99F26" w14:textId="79ABC23F" w:rsidR="000F373C" w:rsidRDefault="000F373C" w:rsidP="00AC314F">
      <w:pPr>
        <w:spacing w:after="120" w:line="480" w:lineRule="auto"/>
        <w:ind w:firstLine="420"/>
        <w:rPr>
          <w:rFonts w:ascii="Garamond" w:hAnsi="Garamond"/>
          <w:sz w:val="24"/>
          <w:szCs w:val="24"/>
        </w:rPr>
      </w:pPr>
      <w:r>
        <w:rPr>
          <w:rFonts w:ascii="Garamond" w:hAnsi="Garamond"/>
          <w:sz w:val="24"/>
          <w:szCs w:val="24"/>
        </w:rPr>
        <w:t xml:space="preserve">   </w:t>
      </w:r>
      <w:r w:rsidR="00A2497E" w:rsidRPr="00EE7169">
        <w:rPr>
          <w:rFonts w:ascii="Garamond" w:hAnsi="Garamond"/>
          <w:sz w:val="24"/>
          <w:szCs w:val="24"/>
        </w:rPr>
        <w:t xml:space="preserve">We proxy communication costs by </w:t>
      </w:r>
      <w:r w:rsidR="009A4058">
        <w:rPr>
          <w:rFonts w:ascii="Garamond" w:hAnsi="Garamond"/>
          <w:sz w:val="24"/>
          <w:szCs w:val="24"/>
        </w:rPr>
        <w:t>three</w:t>
      </w:r>
      <w:r>
        <w:rPr>
          <w:rFonts w:ascii="Garamond" w:hAnsi="Garamond"/>
          <w:sz w:val="24"/>
          <w:szCs w:val="24"/>
        </w:rPr>
        <w:t xml:space="preserve"> measures. The first is </w:t>
      </w:r>
      <w:r w:rsidR="00A2497E" w:rsidRPr="00EE7169">
        <w:rPr>
          <w:rFonts w:ascii="Garamond" w:hAnsi="Garamond"/>
          <w:sz w:val="24"/>
          <w:szCs w:val="24"/>
        </w:rPr>
        <w:t>provincial road mileages (road mileage per capita)</w:t>
      </w:r>
      <w:r w:rsidR="00C96C01">
        <w:rPr>
          <w:rFonts w:ascii="Garamond" w:hAnsi="Garamond"/>
          <w:sz w:val="24"/>
          <w:szCs w:val="24"/>
        </w:rPr>
        <w:t>: more convenient transportation significantly reduces the difficulty of on-site inspection, and thus makes information more accurate</w:t>
      </w:r>
      <w:r w:rsidR="00A2497E" w:rsidRPr="00EE7169">
        <w:rPr>
          <w:rFonts w:ascii="Garamond" w:hAnsi="Garamond"/>
          <w:sz w:val="24"/>
          <w:szCs w:val="24"/>
        </w:rPr>
        <w:t xml:space="preserve">. </w:t>
      </w:r>
      <w:r>
        <w:rPr>
          <w:rFonts w:ascii="Garamond" w:hAnsi="Garamond"/>
          <w:sz w:val="24"/>
          <w:szCs w:val="24"/>
        </w:rPr>
        <w:t xml:space="preserve">The second is provincial telecom density, i.e., the share of people having either mobile or fixed phones. The third is the share of people using internet. </w:t>
      </w:r>
    </w:p>
    <w:p w14:paraId="574FA627" w14:textId="7176006E" w:rsidR="00A2497E" w:rsidRDefault="000F373C" w:rsidP="00AC314F">
      <w:pPr>
        <w:spacing w:after="120" w:line="480" w:lineRule="auto"/>
        <w:ind w:firstLine="420"/>
        <w:rPr>
          <w:rFonts w:ascii="Garamond" w:hAnsi="Garamond"/>
          <w:sz w:val="24"/>
          <w:szCs w:val="24"/>
        </w:rPr>
      </w:pPr>
      <w:r>
        <w:rPr>
          <w:rFonts w:ascii="Garamond" w:hAnsi="Garamond"/>
          <w:sz w:val="24"/>
          <w:szCs w:val="24"/>
        </w:rPr>
        <w:t xml:space="preserve">   </w:t>
      </w:r>
      <w:r w:rsidR="00A2497E" w:rsidRPr="00EE7169">
        <w:rPr>
          <w:rFonts w:ascii="Garamond" w:hAnsi="Garamond"/>
          <w:sz w:val="24"/>
          <w:szCs w:val="24"/>
        </w:rPr>
        <w:t xml:space="preserve">We proxy high uncertainty over a firm by </w:t>
      </w:r>
      <w:r w:rsidR="009A4058">
        <w:rPr>
          <w:rFonts w:ascii="Garamond" w:hAnsi="Garamond"/>
          <w:sz w:val="24"/>
          <w:szCs w:val="24"/>
        </w:rPr>
        <w:t>several</w:t>
      </w:r>
      <w:r w:rsidR="00A2497E" w:rsidRPr="00EE7169">
        <w:rPr>
          <w:rFonts w:ascii="Garamond" w:hAnsi="Garamond"/>
          <w:sz w:val="24"/>
          <w:szCs w:val="24"/>
        </w:rPr>
        <w:t xml:space="preserve"> variables: </w:t>
      </w:r>
      <w:r w:rsidR="009A4058" w:rsidRPr="00EE7169">
        <w:rPr>
          <w:rFonts w:ascii="Garamond" w:hAnsi="Garamond"/>
          <w:sz w:val="24"/>
          <w:szCs w:val="24"/>
        </w:rPr>
        <w:t>the average share of intangible assets in total assets within the firm’s industry</w:t>
      </w:r>
      <w:r w:rsidR="009A4058">
        <w:rPr>
          <w:rFonts w:ascii="Garamond" w:hAnsi="Garamond"/>
          <w:sz w:val="24"/>
          <w:szCs w:val="24"/>
        </w:rPr>
        <w:t xml:space="preserve">, and several measures of </w:t>
      </w:r>
      <w:r w:rsidR="00A2497E" w:rsidRPr="00EE7169">
        <w:rPr>
          <w:rFonts w:ascii="Garamond" w:hAnsi="Garamond"/>
          <w:sz w:val="24"/>
          <w:szCs w:val="24"/>
        </w:rPr>
        <w:t xml:space="preserve">the dispersion of </w:t>
      </w:r>
      <w:r w:rsidR="009A4058">
        <w:rPr>
          <w:rFonts w:ascii="Garamond" w:hAnsi="Garamond"/>
          <w:sz w:val="24"/>
          <w:szCs w:val="24"/>
        </w:rPr>
        <w:t>firm performance</w:t>
      </w:r>
      <w:r w:rsidR="005A60E1" w:rsidRPr="00EE7169">
        <w:rPr>
          <w:rFonts w:ascii="Garamond" w:hAnsi="Garamond"/>
          <w:sz w:val="24"/>
          <w:szCs w:val="24"/>
        </w:rPr>
        <w:t xml:space="preserve"> within the firm’s industry</w:t>
      </w:r>
      <w:r w:rsidR="00A2497E" w:rsidRPr="00EE7169">
        <w:rPr>
          <w:rFonts w:ascii="Garamond" w:hAnsi="Garamond"/>
          <w:sz w:val="24"/>
          <w:szCs w:val="24"/>
        </w:rPr>
        <w:t xml:space="preserve">. A higher share of intangible assets for a firm in general implies higher uncertainty about the firm’s technology and performance. Since we </w:t>
      </w:r>
      <w:r w:rsidR="00055B92" w:rsidRPr="00EE7169">
        <w:rPr>
          <w:rFonts w:ascii="Garamond" w:hAnsi="Garamond"/>
          <w:sz w:val="24"/>
          <w:szCs w:val="24"/>
        </w:rPr>
        <w:t>rely</w:t>
      </w:r>
      <w:r w:rsidR="00A2497E" w:rsidRPr="00EE7169">
        <w:rPr>
          <w:rFonts w:ascii="Garamond" w:hAnsi="Garamond"/>
          <w:sz w:val="24"/>
          <w:szCs w:val="24"/>
        </w:rPr>
        <w:t xml:space="preserve"> on </w:t>
      </w:r>
      <w:r w:rsidR="009A4058">
        <w:rPr>
          <w:rFonts w:ascii="Garamond" w:hAnsi="Garamond"/>
          <w:sz w:val="24"/>
          <w:szCs w:val="24"/>
        </w:rPr>
        <w:t>three</w:t>
      </w:r>
      <w:r w:rsidR="00A2497E" w:rsidRPr="00EE7169">
        <w:rPr>
          <w:rFonts w:ascii="Garamond" w:hAnsi="Garamond"/>
          <w:sz w:val="24"/>
          <w:szCs w:val="24"/>
        </w:rPr>
        <w:t xml:space="preserve"> different ways to compute TFP—</w:t>
      </w:r>
      <w:r w:rsidR="00055B92" w:rsidRPr="00EE7169">
        <w:rPr>
          <w:rFonts w:ascii="Garamond" w:hAnsi="Garamond"/>
          <w:sz w:val="24"/>
          <w:szCs w:val="24"/>
        </w:rPr>
        <w:t xml:space="preserve">the OLS production function method, </w:t>
      </w:r>
      <w:r w:rsidR="00A2497E" w:rsidRPr="00EE7169">
        <w:rPr>
          <w:rFonts w:ascii="Garamond" w:hAnsi="Garamond"/>
          <w:sz w:val="24"/>
          <w:szCs w:val="24"/>
        </w:rPr>
        <w:t xml:space="preserve">the Olley-Pakes method, and the index function method—we present </w:t>
      </w:r>
      <w:r w:rsidR="009A4058">
        <w:rPr>
          <w:rFonts w:ascii="Garamond" w:hAnsi="Garamond"/>
          <w:sz w:val="24"/>
          <w:szCs w:val="24"/>
        </w:rPr>
        <w:t>three</w:t>
      </w:r>
      <w:r w:rsidR="00A2497E" w:rsidRPr="00EE7169">
        <w:rPr>
          <w:rFonts w:ascii="Garamond" w:hAnsi="Garamond"/>
          <w:sz w:val="24"/>
          <w:szCs w:val="24"/>
        </w:rPr>
        <w:t xml:space="preserve"> sets of results for the distance-TFP-dispersion specification</w:t>
      </w:r>
      <w:r w:rsidR="00F11A75">
        <w:rPr>
          <w:rFonts w:ascii="Garamond" w:hAnsi="Garamond"/>
          <w:sz w:val="24"/>
          <w:szCs w:val="24"/>
        </w:rPr>
        <w:t xml:space="preserve"> (s</w:t>
      </w:r>
      <w:r w:rsidR="00A2497E" w:rsidRPr="00EE7169">
        <w:rPr>
          <w:rFonts w:ascii="Garamond" w:hAnsi="Garamond"/>
          <w:sz w:val="24"/>
          <w:szCs w:val="24"/>
        </w:rPr>
        <w:t>ee the data appendix for the details of the construction of TFP</w:t>
      </w:r>
      <w:r w:rsidR="00F11A75">
        <w:rPr>
          <w:rFonts w:ascii="Garamond" w:hAnsi="Garamond"/>
          <w:sz w:val="24"/>
          <w:szCs w:val="24"/>
        </w:rPr>
        <w:t>)</w:t>
      </w:r>
      <w:r w:rsidR="00A2497E" w:rsidRPr="00EE7169">
        <w:rPr>
          <w:rFonts w:ascii="Garamond" w:hAnsi="Garamond"/>
          <w:sz w:val="24"/>
          <w:szCs w:val="24"/>
        </w:rPr>
        <w:t xml:space="preserve">. </w:t>
      </w:r>
      <w:r w:rsidR="009A4058">
        <w:rPr>
          <w:rFonts w:ascii="Garamond" w:hAnsi="Garamond"/>
          <w:sz w:val="24"/>
          <w:szCs w:val="24"/>
        </w:rPr>
        <w:t xml:space="preserve">In addition, we also present the dispersion in return-to-sales (ROS, that is, </w:t>
      </w:r>
      <w:r w:rsidR="000D32A3">
        <w:rPr>
          <w:rFonts w:ascii="Garamond" w:hAnsi="Garamond"/>
          <w:sz w:val="24"/>
          <w:szCs w:val="24"/>
        </w:rPr>
        <w:t xml:space="preserve">before-tax </w:t>
      </w:r>
      <w:r w:rsidR="009A4058">
        <w:rPr>
          <w:rFonts w:ascii="Garamond" w:hAnsi="Garamond"/>
          <w:sz w:val="24"/>
          <w:szCs w:val="24"/>
        </w:rPr>
        <w:t>profit over sales)</w:t>
      </w:r>
      <w:r w:rsidR="00EB22C8">
        <w:rPr>
          <w:rFonts w:ascii="Garamond" w:hAnsi="Garamond"/>
          <w:sz w:val="24"/>
          <w:szCs w:val="24"/>
        </w:rPr>
        <w:t>, which is more transparent</w:t>
      </w:r>
      <w:r w:rsidR="009A4058">
        <w:rPr>
          <w:rFonts w:ascii="Garamond" w:hAnsi="Garamond"/>
          <w:sz w:val="24"/>
          <w:szCs w:val="24"/>
        </w:rPr>
        <w:t xml:space="preserve">. </w:t>
      </w:r>
    </w:p>
    <w:p w14:paraId="25A60B2C" w14:textId="04453D92" w:rsidR="00A2497E" w:rsidRPr="00EE7169" w:rsidRDefault="000C3D3A" w:rsidP="00AC314F">
      <w:pPr>
        <w:spacing w:after="120" w:line="480" w:lineRule="auto"/>
        <w:ind w:firstLine="720"/>
        <w:rPr>
          <w:rFonts w:ascii="Garamond" w:hAnsi="Garamond"/>
          <w:sz w:val="24"/>
          <w:szCs w:val="24"/>
        </w:rPr>
      </w:pPr>
      <w:r>
        <w:rPr>
          <w:rFonts w:ascii="Garamond" w:hAnsi="Garamond"/>
          <w:sz w:val="24"/>
          <w:szCs w:val="24"/>
        </w:rPr>
        <w:t>The results in Table 9</w:t>
      </w:r>
      <w:r w:rsidR="00A2497E" w:rsidRPr="00EE7169">
        <w:rPr>
          <w:rFonts w:ascii="Garamond" w:hAnsi="Garamond"/>
          <w:sz w:val="24"/>
          <w:szCs w:val="24"/>
        </w:rPr>
        <w:t xml:space="preserve"> </w:t>
      </w:r>
      <w:r w:rsidR="00EB22C8">
        <w:rPr>
          <w:rFonts w:ascii="Garamond" w:hAnsi="Garamond"/>
          <w:sz w:val="24"/>
          <w:szCs w:val="24"/>
        </w:rPr>
        <w:t xml:space="preserve">strongly </w:t>
      </w:r>
      <w:r w:rsidR="00A2497E" w:rsidRPr="00EE7169">
        <w:rPr>
          <w:rFonts w:ascii="Garamond" w:hAnsi="Garamond"/>
          <w:sz w:val="24"/>
          <w:szCs w:val="24"/>
        </w:rPr>
        <w:t xml:space="preserve">support our conjecture. Indeed, lower communication costs are associated with a </w:t>
      </w:r>
      <w:r w:rsidR="000F373C">
        <w:rPr>
          <w:rFonts w:ascii="Garamond" w:hAnsi="Garamond"/>
          <w:sz w:val="24"/>
          <w:szCs w:val="24"/>
        </w:rPr>
        <w:t>reduced</w:t>
      </w:r>
      <w:r w:rsidR="00A2497E" w:rsidRPr="00EE7169">
        <w:rPr>
          <w:rFonts w:ascii="Garamond" w:hAnsi="Garamond"/>
          <w:sz w:val="24"/>
          <w:szCs w:val="24"/>
        </w:rPr>
        <w:t xml:space="preserve"> importance of distance in determining decentralization. The interaction </w:t>
      </w:r>
      <w:r w:rsidR="00384DC6">
        <w:rPr>
          <w:rFonts w:ascii="Garamond" w:hAnsi="Garamond"/>
          <w:sz w:val="24"/>
          <w:szCs w:val="24"/>
        </w:rPr>
        <w:t>with prov</w:t>
      </w:r>
      <w:r w:rsidR="009915FC">
        <w:rPr>
          <w:rFonts w:ascii="Garamond" w:hAnsi="Garamond"/>
          <w:sz w:val="24"/>
          <w:szCs w:val="24"/>
        </w:rPr>
        <w:t>i</w:t>
      </w:r>
      <w:r w:rsidR="00384DC6">
        <w:rPr>
          <w:rFonts w:ascii="Garamond" w:hAnsi="Garamond"/>
          <w:sz w:val="24"/>
          <w:szCs w:val="24"/>
        </w:rPr>
        <w:t>ncial</w:t>
      </w:r>
      <w:r w:rsidR="00A2497E" w:rsidRPr="00EE7169">
        <w:rPr>
          <w:rFonts w:ascii="Garamond" w:hAnsi="Garamond"/>
          <w:sz w:val="24"/>
          <w:szCs w:val="24"/>
        </w:rPr>
        <w:t xml:space="preserve"> road mileage, our proxy of communication costs, is statistically significant (see column 1).  Increasing provincial road density at the mean by one standard deviation is associated with a reduction in </w:t>
      </w:r>
      <m:oMath>
        <m:f>
          <m:fPr>
            <m:ctrlPr>
              <w:rPr>
                <w:rFonts w:ascii="Cambria Math" w:hAnsi="Cambria Math"/>
                <w:i/>
                <w:sz w:val="24"/>
                <w:szCs w:val="24"/>
              </w:rPr>
            </m:ctrlPr>
          </m:fPr>
          <m:num>
            <m:r>
              <w:rPr>
                <w:rFonts w:ascii="Cambria Math" w:hAnsi="Cambria Math"/>
                <w:sz w:val="24"/>
                <w:szCs w:val="24"/>
              </w:rPr>
              <m:t>∂Decen</m:t>
            </m:r>
          </m:num>
          <m:den>
            <m:r>
              <w:rPr>
                <w:rFonts w:ascii="Cambria Math" w:hAnsi="Cambria Math"/>
                <w:sz w:val="24"/>
                <w:szCs w:val="24"/>
              </w:rPr>
              <m:t>∂Distance</m:t>
            </m:r>
          </m:den>
        </m:f>
      </m:oMath>
      <w:r w:rsidR="00A2497E" w:rsidRPr="00EE7169">
        <w:rPr>
          <w:rFonts w:ascii="Garamond" w:hAnsi="Garamond"/>
          <w:sz w:val="24"/>
          <w:szCs w:val="24"/>
        </w:rPr>
        <w:t xml:space="preserve"> by 38 percent. </w:t>
      </w:r>
      <w:r w:rsidR="00384DC6">
        <w:rPr>
          <w:rFonts w:ascii="Garamond" w:hAnsi="Garamond"/>
          <w:sz w:val="24"/>
          <w:szCs w:val="24"/>
        </w:rPr>
        <w:t>The results are qualitative</w:t>
      </w:r>
      <w:r w:rsidR="009915FC">
        <w:rPr>
          <w:rFonts w:ascii="Garamond" w:hAnsi="Garamond"/>
          <w:sz w:val="24"/>
          <w:szCs w:val="24"/>
        </w:rPr>
        <w:t>l</w:t>
      </w:r>
      <w:r w:rsidR="00384DC6">
        <w:rPr>
          <w:rFonts w:ascii="Garamond" w:hAnsi="Garamond"/>
          <w:sz w:val="24"/>
          <w:szCs w:val="24"/>
        </w:rPr>
        <w:t>y similar when we use provincial telecom density, or internet density.</w:t>
      </w:r>
      <w:r w:rsidR="00A2497E" w:rsidRPr="00EE7169">
        <w:rPr>
          <w:rFonts w:ascii="Garamond" w:hAnsi="Garamond"/>
          <w:sz w:val="24"/>
          <w:szCs w:val="24"/>
        </w:rPr>
        <w:t xml:space="preserve"> Furthermore, uncertainty about the firm is associated with an increase the importance of distance in determining decentralization. The interactions of distance with </w:t>
      </w:r>
      <w:r w:rsidR="00A2497E" w:rsidRPr="00EE7169">
        <w:rPr>
          <w:rFonts w:ascii="Garamond" w:hAnsi="Garamond"/>
          <w:sz w:val="24"/>
          <w:szCs w:val="24"/>
        </w:rPr>
        <w:lastRenderedPageBreak/>
        <w:t xml:space="preserve">our proxies of uncertainty about the firm are all positive and statistically significant. Increasing dispersion of </w:t>
      </w:r>
      <w:r w:rsidR="00451518">
        <w:rPr>
          <w:rFonts w:ascii="Garamond" w:hAnsi="Garamond"/>
          <w:sz w:val="24"/>
          <w:szCs w:val="24"/>
        </w:rPr>
        <w:t xml:space="preserve">industry </w:t>
      </w:r>
      <w:r w:rsidR="00A2497E" w:rsidRPr="00EE7169">
        <w:rPr>
          <w:rFonts w:ascii="Garamond" w:hAnsi="Garamond"/>
          <w:sz w:val="24"/>
          <w:szCs w:val="24"/>
        </w:rPr>
        <w:t xml:space="preserve">TFP (calculated by Olley-Pakes method) at the mean by one standard deviation would increase </w:t>
      </w:r>
      <m:oMath>
        <m:f>
          <m:fPr>
            <m:ctrlPr>
              <w:rPr>
                <w:rFonts w:ascii="Cambria Math" w:hAnsi="Cambria Math"/>
                <w:i/>
                <w:sz w:val="24"/>
                <w:szCs w:val="24"/>
              </w:rPr>
            </m:ctrlPr>
          </m:fPr>
          <m:num>
            <m:r>
              <w:rPr>
                <w:rFonts w:ascii="Cambria Math" w:hAnsi="Cambria Math"/>
                <w:sz w:val="24"/>
                <w:szCs w:val="24"/>
              </w:rPr>
              <m:t>∂Decen</m:t>
            </m:r>
          </m:num>
          <m:den>
            <m:r>
              <w:rPr>
                <w:rFonts w:ascii="Cambria Math" w:hAnsi="Cambria Math"/>
                <w:sz w:val="24"/>
                <w:szCs w:val="24"/>
              </w:rPr>
              <m:t>∂Distance</m:t>
            </m:r>
          </m:den>
        </m:f>
      </m:oMath>
      <w:r w:rsidR="00A2497E" w:rsidRPr="00EE7169">
        <w:rPr>
          <w:rFonts w:ascii="Garamond" w:hAnsi="Garamond"/>
          <w:sz w:val="24"/>
          <w:szCs w:val="24"/>
        </w:rPr>
        <w:t xml:space="preserve"> by almost 120 percent.</w:t>
      </w:r>
      <w:r w:rsidR="00A2497E" w:rsidRPr="00EE7169">
        <w:rPr>
          <w:rStyle w:val="FootnoteReference"/>
          <w:rFonts w:ascii="Garamond" w:hAnsi="Garamond"/>
          <w:sz w:val="24"/>
          <w:szCs w:val="24"/>
        </w:rPr>
        <w:footnoteReference w:id="13"/>
      </w:r>
      <w:r w:rsidR="00A2497E" w:rsidRPr="00EE7169">
        <w:rPr>
          <w:rFonts w:ascii="Garamond" w:hAnsi="Garamond"/>
          <w:sz w:val="24"/>
          <w:szCs w:val="24"/>
        </w:rPr>
        <w:t xml:space="preserve">  Increasing average intangibility ratio of the industry at the mean by one standard deviation is associated with an increase in </w:t>
      </w:r>
      <m:oMath>
        <m:f>
          <m:fPr>
            <m:ctrlPr>
              <w:rPr>
                <w:rFonts w:ascii="Cambria Math" w:hAnsi="Cambria Math"/>
                <w:i/>
                <w:sz w:val="24"/>
                <w:szCs w:val="24"/>
              </w:rPr>
            </m:ctrlPr>
          </m:fPr>
          <m:num>
            <m:r>
              <w:rPr>
                <w:rFonts w:ascii="Cambria Math" w:hAnsi="Cambria Math"/>
                <w:sz w:val="24"/>
                <w:szCs w:val="24"/>
              </w:rPr>
              <m:t>∂Decen</m:t>
            </m:r>
          </m:num>
          <m:den>
            <m:r>
              <w:rPr>
                <w:rFonts w:ascii="Cambria Math" w:hAnsi="Cambria Math"/>
                <w:sz w:val="24"/>
                <w:szCs w:val="24"/>
              </w:rPr>
              <m:t>∂Distance</m:t>
            </m:r>
          </m:den>
        </m:f>
      </m:oMath>
      <w:r w:rsidR="00A2497E" w:rsidRPr="00EE7169">
        <w:rPr>
          <w:rFonts w:ascii="Garamond" w:hAnsi="Garamond"/>
          <w:sz w:val="24"/>
          <w:szCs w:val="24"/>
        </w:rPr>
        <w:t xml:space="preserve"> by 10 percent. These findings put in perspective the relative magnitudes of the two mechanisms. It seems that both mechanisms are qualitatively important, and uncertainty about firm performance is perhaps somewhat more important.</w:t>
      </w:r>
    </w:p>
    <w:p w14:paraId="6E076B20" w14:textId="77777777" w:rsidR="00A2497E" w:rsidRPr="00EE7169" w:rsidRDefault="00A2497E" w:rsidP="00AC314F">
      <w:pPr>
        <w:spacing w:after="120" w:line="480" w:lineRule="auto"/>
        <w:ind w:firstLineChars="300" w:firstLine="720"/>
        <w:rPr>
          <w:rFonts w:ascii="Garamond" w:hAnsi="Garamond"/>
          <w:sz w:val="24"/>
          <w:szCs w:val="24"/>
        </w:rPr>
      </w:pPr>
      <w:r w:rsidRPr="00EE7169">
        <w:rPr>
          <w:rFonts w:ascii="Garamond" w:hAnsi="Garamond"/>
          <w:sz w:val="24"/>
          <w:szCs w:val="24"/>
        </w:rPr>
        <w:t>Overall, results in this section suggest that an SOE is more likely to be decentralized if it lies far away from the oversight government. The effect of distance is larger when there is more uncertainty about the firm and when communication costs are higher.</w:t>
      </w:r>
    </w:p>
    <w:p w14:paraId="2DA5AA28" w14:textId="77777777" w:rsidR="00A2497E" w:rsidRPr="00EE7169" w:rsidRDefault="00A2497E" w:rsidP="00AC314F">
      <w:pPr>
        <w:spacing w:after="120" w:line="480" w:lineRule="auto"/>
        <w:rPr>
          <w:rFonts w:ascii="Garamond" w:hAnsi="Garamond"/>
          <w:b/>
          <w:sz w:val="24"/>
          <w:szCs w:val="24"/>
        </w:rPr>
      </w:pPr>
    </w:p>
    <w:p w14:paraId="73A8BAB4" w14:textId="77777777" w:rsidR="00A2497E" w:rsidRPr="00EE7169" w:rsidRDefault="00A2497E" w:rsidP="00AC314F">
      <w:pPr>
        <w:pStyle w:val="ListParagraph"/>
        <w:numPr>
          <w:ilvl w:val="0"/>
          <w:numId w:val="12"/>
        </w:numPr>
        <w:spacing w:after="120" w:line="480" w:lineRule="auto"/>
        <w:ind w:firstLineChars="0"/>
        <w:rPr>
          <w:rFonts w:ascii="Garamond" w:hAnsi="Garamond"/>
          <w:b/>
          <w:sz w:val="24"/>
          <w:szCs w:val="24"/>
        </w:rPr>
      </w:pPr>
      <w:r w:rsidRPr="00EE7169">
        <w:rPr>
          <w:rFonts w:ascii="Garamond" w:hAnsi="Garamond"/>
          <w:b/>
          <w:sz w:val="24"/>
          <w:szCs w:val="24"/>
        </w:rPr>
        <w:t>Conclusions</w:t>
      </w:r>
    </w:p>
    <w:p w14:paraId="0BBC16CE" w14:textId="1442B75B" w:rsidR="00A2497E" w:rsidRPr="00EE7169" w:rsidRDefault="00A2497E" w:rsidP="00AF15CE">
      <w:pPr>
        <w:spacing w:after="120" w:line="480" w:lineRule="auto"/>
        <w:rPr>
          <w:rFonts w:ascii="Garamond" w:hAnsi="Garamond"/>
          <w:sz w:val="24"/>
          <w:szCs w:val="24"/>
        </w:rPr>
      </w:pPr>
      <w:r w:rsidRPr="00EE7169">
        <w:rPr>
          <w:rFonts w:ascii="Garamond" w:hAnsi="Garamond"/>
          <w:sz w:val="24"/>
          <w:szCs w:val="24"/>
        </w:rPr>
        <w:t xml:space="preserve">China’s decentralization of SOEs represents a unique chance to test the implications of Hayek’s insight on the importance of local information for designing economic system. As the opening quote of Hayek suggests, when a society is experiencing rapid changes, the ultimate decisions should be left to those familiar with the particular circumstances, and “some form of decentralization” is needed. </w:t>
      </w:r>
      <w:r w:rsidR="000D32A3">
        <w:rPr>
          <w:rFonts w:ascii="Garamond" w:hAnsi="Garamond"/>
          <w:sz w:val="24"/>
          <w:szCs w:val="24"/>
        </w:rPr>
        <w:t>Indeed</w:t>
      </w:r>
      <w:r w:rsidRPr="00EE7169">
        <w:rPr>
          <w:rFonts w:ascii="Garamond" w:hAnsi="Garamond"/>
          <w:sz w:val="24"/>
          <w:szCs w:val="24"/>
        </w:rPr>
        <w:t xml:space="preserve">, we find that a larger information asymmetry between the original oversight government and the SOE, as proxied by their physical distance, is associated with a greater likelihood of decentralization. Moreover, the positive effect of distance on decentralization is larger where SOE performance is more uncertain and communication costs are higher. Our findings suggest that Hayek’s insight on local information </w:t>
      </w:r>
      <w:r w:rsidR="00CB1201" w:rsidRPr="00CB1201">
        <w:rPr>
          <w:rFonts w:ascii="Garamond" w:hAnsi="Garamond"/>
          <w:sz w:val="24"/>
          <w:szCs w:val="24"/>
        </w:rPr>
        <w:t>is a key for understanding</w:t>
      </w:r>
      <w:r w:rsidR="00002ED4">
        <w:rPr>
          <w:rFonts w:ascii="Garamond" w:hAnsi="Garamond" w:hint="eastAsia"/>
          <w:sz w:val="24"/>
          <w:szCs w:val="24"/>
        </w:rPr>
        <w:t xml:space="preserve"> the</w:t>
      </w:r>
      <w:r w:rsidR="00CB1201" w:rsidRPr="00CB1201">
        <w:rPr>
          <w:rFonts w:ascii="Garamond" w:hAnsi="Garamond"/>
          <w:sz w:val="24"/>
          <w:szCs w:val="24"/>
        </w:rPr>
        <w:t xml:space="preserve"> efficiency of firms in general and economic </w:t>
      </w:r>
      <w:r w:rsidR="00CB1201" w:rsidRPr="00CB1201">
        <w:rPr>
          <w:rFonts w:ascii="Garamond" w:hAnsi="Garamond"/>
          <w:sz w:val="24"/>
          <w:szCs w:val="24"/>
        </w:rPr>
        <w:lastRenderedPageBreak/>
        <w:t>system in particular</w:t>
      </w:r>
      <w:r w:rsidRPr="00EE7169">
        <w:rPr>
          <w:rFonts w:ascii="Garamond" w:hAnsi="Garamond"/>
          <w:sz w:val="24"/>
          <w:szCs w:val="24"/>
        </w:rPr>
        <w:t xml:space="preserve">. </w:t>
      </w:r>
    </w:p>
    <w:p w14:paraId="09B565F2" w14:textId="0F14A5EC" w:rsidR="005020F6" w:rsidRPr="00EE7169" w:rsidRDefault="005020F6">
      <w:pPr>
        <w:widowControl/>
        <w:jc w:val="left"/>
        <w:rPr>
          <w:rFonts w:ascii="Garamond" w:hAnsi="Garamond"/>
          <w:sz w:val="24"/>
          <w:szCs w:val="24"/>
        </w:rPr>
      </w:pPr>
      <w:r w:rsidRPr="00EE7169">
        <w:rPr>
          <w:rFonts w:ascii="Garamond" w:hAnsi="Garamond"/>
          <w:sz w:val="24"/>
          <w:szCs w:val="24"/>
        </w:rPr>
        <w:br w:type="page"/>
      </w:r>
    </w:p>
    <w:p w14:paraId="434E6329" w14:textId="77777777" w:rsidR="00515759" w:rsidRPr="00EE7169" w:rsidRDefault="00515759" w:rsidP="00515759">
      <w:pPr>
        <w:spacing w:after="120" w:line="360" w:lineRule="auto"/>
        <w:rPr>
          <w:rFonts w:ascii="Garamond" w:hAnsi="Garamond"/>
          <w:b/>
          <w:sz w:val="24"/>
          <w:szCs w:val="24"/>
        </w:rPr>
      </w:pPr>
      <w:r w:rsidRPr="00EE7169">
        <w:rPr>
          <w:rFonts w:ascii="Garamond" w:hAnsi="Garamond"/>
          <w:b/>
          <w:sz w:val="24"/>
          <w:szCs w:val="24"/>
        </w:rPr>
        <w:lastRenderedPageBreak/>
        <w:t>Reference</w:t>
      </w:r>
    </w:p>
    <w:p w14:paraId="313EEC4B" w14:textId="77777777"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Agarwal, S. and Hauswald, R. 2010. “Distance and Private Information in Lending,” </w:t>
      </w:r>
      <w:r w:rsidRPr="00F11A75">
        <w:rPr>
          <w:rFonts w:ascii="Garamond" w:hAnsi="Garamond"/>
          <w:i/>
          <w:sz w:val="23"/>
          <w:szCs w:val="23"/>
        </w:rPr>
        <w:t>Review of Financial Studies</w:t>
      </w:r>
      <w:r w:rsidRPr="00F11A75">
        <w:rPr>
          <w:rFonts w:ascii="Garamond" w:hAnsi="Garamond"/>
          <w:sz w:val="23"/>
          <w:szCs w:val="23"/>
        </w:rPr>
        <w:t>. 23(7): 2757-2788.</w:t>
      </w:r>
    </w:p>
    <w:p w14:paraId="55FBCF43" w14:textId="52B158EB"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Acemoglu, D., P. Aghion, C. Lelarge, J. Van Reenen, and F. Zilibotti, 2007, “Technology, information, and the decentralization of the firm”, </w:t>
      </w:r>
      <w:r w:rsidRPr="00F11A75">
        <w:rPr>
          <w:rFonts w:ascii="Garamond" w:hAnsi="Garamond"/>
          <w:i/>
          <w:iCs/>
          <w:sz w:val="23"/>
          <w:szCs w:val="23"/>
        </w:rPr>
        <w:t>Quarterly Journal of Economics</w:t>
      </w:r>
      <w:r w:rsidRPr="00F11A75">
        <w:rPr>
          <w:rFonts w:ascii="Garamond" w:hAnsi="Garamond"/>
          <w:iCs/>
          <w:sz w:val="23"/>
          <w:szCs w:val="23"/>
        </w:rPr>
        <w:t xml:space="preserve">, </w:t>
      </w:r>
      <w:r w:rsidR="00973D78">
        <w:rPr>
          <w:rFonts w:ascii="Garamond" w:hAnsi="Garamond" w:hint="eastAsia"/>
          <w:iCs/>
          <w:sz w:val="23"/>
          <w:szCs w:val="23"/>
        </w:rPr>
        <w:t xml:space="preserve">122(4), </w:t>
      </w:r>
      <w:r w:rsidRPr="00F11A75">
        <w:rPr>
          <w:rFonts w:ascii="Garamond" w:hAnsi="Garamond"/>
          <w:iCs/>
          <w:sz w:val="23"/>
          <w:szCs w:val="23"/>
        </w:rPr>
        <w:t>1759-1799.</w:t>
      </w:r>
    </w:p>
    <w:p w14:paraId="384B2B43" w14:textId="5E80CA7D"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Aghion, P. and J. Tirole. 1997. “Formal and real authority in organizations”. </w:t>
      </w:r>
      <w:r w:rsidRPr="00F11A75">
        <w:rPr>
          <w:rFonts w:ascii="Garamond" w:hAnsi="Garamond"/>
          <w:i/>
          <w:sz w:val="23"/>
          <w:szCs w:val="23"/>
        </w:rPr>
        <w:t>Journal of Political Economy</w:t>
      </w:r>
      <w:r w:rsidRPr="00F11A75">
        <w:rPr>
          <w:rFonts w:ascii="Garamond" w:hAnsi="Garamond"/>
          <w:sz w:val="23"/>
          <w:szCs w:val="23"/>
        </w:rPr>
        <w:t>, 105(1), 1-29.</w:t>
      </w:r>
    </w:p>
    <w:p w14:paraId="36C76EB9" w14:textId="0DE5129A" w:rsidR="00515759" w:rsidRPr="00F11A75" w:rsidRDefault="00515759" w:rsidP="000C6E7C">
      <w:pPr>
        <w:pStyle w:val="Default"/>
        <w:spacing w:after="120"/>
        <w:ind w:left="690" w:hangingChars="300" w:hanging="690"/>
        <w:jc w:val="both"/>
        <w:rPr>
          <w:rFonts w:ascii="Garamond" w:eastAsia="SimSun" w:hAnsi="Garamond" w:cs="Times New Roman"/>
          <w:color w:val="auto"/>
          <w:sz w:val="23"/>
          <w:szCs w:val="23"/>
        </w:rPr>
      </w:pPr>
      <w:r w:rsidRPr="00F11A75">
        <w:rPr>
          <w:rFonts w:ascii="Garamond" w:eastAsia="SimSun" w:hAnsi="Garamond" w:cs="Times New Roman"/>
          <w:color w:val="auto"/>
          <w:sz w:val="23"/>
          <w:szCs w:val="23"/>
        </w:rPr>
        <w:t xml:space="preserve">Alonso, R., W. Dessein, and N. Matsouschek. 2008. “When Does Coordination Require Centralization?” </w:t>
      </w:r>
      <w:r w:rsidRPr="00F11A75">
        <w:rPr>
          <w:rFonts w:ascii="Garamond" w:eastAsia="SimSun" w:hAnsi="Garamond" w:cs="Times New Roman"/>
          <w:i/>
          <w:color w:val="auto"/>
          <w:sz w:val="23"/>
          <w:szCs w:val="23"/>
        </w:rPr>
        <w:t>American Economic Review,</w:t>
      </w:r>
      <w:r w:rsidRPr="00F11A75">
        <w:rPr>
          <w:rFonts w:ascii="Garamond" w:eastAsia="SimSun" w:hAnsi="Garamond" w:cs="Times New Roman"/>
          <w:color w:val="auto"/>
          <w:sz w:val="23"/>
          <w:szCs w:val="23"/>
        </w:rPr>
        <w:t xml:space="preserve"> 98(1), 145-179.</w:t>
      </w:r>
    </w:p>
    <w:p w14:paraId="1BEF90B1" w14:textId="77777777"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Angrist, Joshua, Jorn-Steffen Pischke. 2009. </w:t>
      </w:r>
      <w:r w:rsidRPr="00F11A75">
        <w:rPr>
          <w:rFonts w:ascii="Garamond" w:hAnsi="Garamond"/>
          <w:i/>
          <w:sz w:val="23"/>
          <w:szCs w:val="23"/>
        </w:rPr>
        <w:t xml:space="preserve">Mostly Harmless Econometrics: An Empiricist’s Companion. </w:t>
      </w:r>
      <w:r w:rsidRPr="00F11A75">
        <w:rPr>
          <w:rFonts w:ascii="Garamond" w:hAnsi="Garamond"/>
          <w:sz w:val="23"/>
          <w:szCs w:val="23"/>
        </w:rPr>
        <w:t>Princeton: Princeton University Press.</w:t>
      </w:r>
    </w:p>
    <w:p w14:paraId="508E95D7" w14:textId="280754B8"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Bloom, N., R. Sadun and J. Van Reenen, 2010, “Does Product Market Competition Lead Firms to Decentralize?” </w:t>
      </w:r>
      <w:r w:rsidRPr="00F11A75">
        <w:rPr>
          <w:rFonts w:ascii="Garamond" w:hAnsi="Garamond"/>
          <w:i/>
          <w:sz w:val="23"/>
          <w:szCs w:val="23"/>
        </w:rPr>
        <w:t>American Economic Review</w:t>
      </w:r>
      <w:r w:rsidRPr="00F11A75">
        <w:rPr>
          <w:rFonts w:ascii="Garamond" w:hAnsi="Garamond"/>
          <w:sz w:val="23"/>
          <w:szCs w:val="23"/>
        </w:rPr>
        <w:t xml:space="preserve">, </w:t>
      </w:r>
      <w:r w:rsidRPr="00F11A75">
        <w:rPr>
          <w:rFonts w:ascii="Garamond" w:hAnsi="Garamond"/>
          <w:i/>
          <w:sz w:val="23"/>
          <w:szCs w:val="23"/>
        </w:rPr>
        <w:t>P&amp;P</w:t>
      </w:r>
      <w:r w:rsidRPr="00F11A75">
        <w:rPr>
          <w:rFonts w:ascii="Garamond" w:hAnsi="Garamond"/>
          <w:sz w:val="23"/>
          <w:szCs w:val="23"/>
        </w:rPr>
        <w:t>, 434-438.</w:t>
      </w:r>
    </w:p>
    <w:p w14:paraId="09173426" w14:textId="55E8AE55"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Bloom, N., R. Sadun and J. Van Reenen, 2012. “The organization of firms across countries”, </w:t>
      </w:r>
      <w:r w:rsidRPr="00F11A75">
        <w:rPr>
          <w:rFonts w:ascii="Garamond" w:hAnsi="Garamond"/>
          <w:i/>
          <w:sz w:val="23"/>
          <w:szCs w:val="23"/>
        </w:rPr>
        <w:t>Quarterly Journal of Economics</w:t>
      </w:r>
      <w:r w:rsidRPr="00F11A75">
        <w:rPr>
          <w:rFonts w:ascii="Garamond" w:hAnsi="Garamond"/>
          <w:sz w:val="23"/>
          <w:szCs w:val="23"/>
        </w:rPr>
        <w:t>,</w:t>
      </w:r>
      <w:r w:rsidR="00973D78">
        <w:rPr>
          <w:rFonts w:ascii="Garamond" w:hAnsi="Garamond" w:hint="eastAsia"/>
          <w:sz w:val="23"/>
          <w:szCs w:val="23"/>
        </w:rPr>
        <w:t xml:space="preserve"> 127(4), 1663-1705.</w:t>
      </w:r>
    </w:p>
    <w:p w14:paraId="5A383D84" w14:textId="77777777"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Bloom, N., L. Garicano, R. Sadum and J. Van Reenen, 2009, “The distinct effects of Information Technology and Communication Technology on firm organization”, NBER working paper No. 14975.</w:t>
      </w:r>
    </w:p>
    <w:p w14:paraId="3A9CD522" w14:textId="6D8899FB" w:rsidR="00515759" w:rsidRPr="00F11A75" w:rsidRDefault="00515759" w:rsidP="000C6E7C">
      <w:pPr>
        <w:spacing w:after="120"/>
        <w:ind w:left="720" w:hanging="720"/>
        <w:rPr>
          <w:rFonts w:ascii="Garamond" w:hAnsi="Garamond"/>
          <w:iCs/>
          <w:sz w:val="23"/>
          <w:szCs w:val="23"/>
        </w:rPr>
      </w:pPr>
      <w:r w:rsidRPr="00F11A75">
        <w:rPr>
          <w:rFonts w:ascii="Garamond" w:hAnsi="Garamond"/>
          <w:sz w:val="23"/>
          <w:szCs w:val="23"/>
        </w:rPr>
        <w:t xml:space="preserve">Bolton, P. and M. Dewatripont, 1994. “The firm as a communication network”, </w:t>
      </w:r>
      <w:r w:rsidRPr="00F11A75">
        <w:rPr>
          <w:rFonts w:ascii="Garamond" w:hAnsi="Garamond"/>
          <w:i/>
          <w:iCs/>
          <w:sz w:val="23"/>
          <w:szCs w:val="23"/>
        </w:rPr>
        <w:t>Quarterly Journal of Economics</w:t>
      </w:r>
      <w:r w:rsidRPr="00F11A75">
        <w:rPr>
          <w:rFonts w:ascii="Garamond" w:hAnsi="Garamond"/>
          <w:iCs/>
          <w:sz w:val="23"/>
          <w:szCs w:val="23"/>
        </w:rPr>
        <w:t xml:space="preserve">, </w:t>
      </w:r>
      <w:r w:rsidR="00973D78">
        <w:rPr>
          <w:rFonts w:ascii="Garamond" w:hAnsi="Garamond" w:hint="eastAsia"/>
          <w:iCs/>
          <w:sz w:val="23"/>
          <w:szCs w:val="23"/>
        </w:rPr>
        <w:t xml:space="preserve">109(4), </w:t>
      </w:r>
      <w:r w:rsidRPr="00F11A75">
        <w:rPr>
          <w:rFonts w:ascii="Garamond" w:hAnsi="Garamond"/>
          <w:iCs/>
          <w:sz w:val="23"/>
          <w:szCs w:val="23"/>
        </w:rPr>
        <w:t>809-839.</w:t>
      </w:r>
    </w:p>
    <w:p w14:paraId="2DA94D93" w14:textId="3C49E837" w:rsidR="00515759" w:rsidRPr="00F11A75" w:rsidRDefault="00515759" w:rsidP="000C6E7C">
      <w:pPr>
        <w:spacing w:after="120"/>
        <w:ind w:left="720" w:hanging="720"/>
        <w:rPr>
          <w:rFonts w:ascii="Garamond" w:hAnsi="Garamond"/>
          <w:iCs/>
          <w:sz w:val="23"/>
          <w:szCs w:val="23"/>
        </w:rPr>
      </w:pPr>
      <w:r w:rsidRPr="00F11A75">
        <w:rPr>
          <w:rFonts w:ascii="Garamond" w:hAnsi="Garamond"/>
          <w:iCs/>
          <w:sz w:val="23"/>
          <w:szCs w:val="23"/>
        </w:rPr>
        <w:t xml:space="preserve">Bresnahan, Timothy F., Erik Brynjolfsson, and Lorin M. Hitt. 2002. “Information Technology, Workplace Organization, and the Demand for Skilled Labor: Firm Level Evidence”, </w:t>
      </w:r>
      <w:r w:rsidRPr="00F11A75">
        <w:rPr>
          <w:rFonts w:ascii="Garamond" w:hAnsi="Garamond"/>
          <w:i/>
          <w:iCs/>
          <w:sz w:val="23"/>
          <w:szCs w:val="23"/>
        </w:rPr>
        <w:t>Quarterly Journal of Economics</w:t>
      </w:r>
      <w:r w:rsidRPr="00F11A75">
        <w:rPr>
          <w:rFonts w:ascii="Garamond" w:hAnsi="Garamond"/>
          <w:iCs/>
          <w:sz w:val="23"/>
          <w:szCs w:val="23"/>
        </w:rPr>
        <w:t>, 117(1), 339-376.</w:t>
      </w:r>
    </w:p>
    <w:p w14:paraId="5311BA2C" w14:textId="7A5E69DB"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Coval, Joshua D., and Tobias J. Moskowitz, 1999. ‘‘Home Bias at Home: Local Equity Preference in Domestic Portfolios,’’</w:t>
      </w:r>
      <w:r w:rsidRPr="00F11A75">
        <w:rPr>
          <w:rFonts w:ascii="Garamond" w:hAnsi="Garamond"/>
          <w:i/>
          <w:sz w:val="23"/>
          <w:szCs w:val="23"/>
        </w:rPr>
        <w:t xml:space="preserve"> Journal of Finance</w:t>
      </w:r>
      <w:r w:rsidRPr="00F11A75">
        <w:rPr>
          <w:rFonts w:ascii="Garamond" w:hAnsi="Garamond"/>
          <w:sz w:val="23"/>
          <w:szCs w:val="23"/>
        </w:rPr>
        <w:t>, 54, 2045–2074.</w:t>
      </w:r>
    </w:p>
    <w:p w14:paraId="6A20058B" w14:textId="77777777" w:rsidR="00515759" w:rsidRPr="00F11A75" w:rsidRDefault="00515759" w:rsidP="000C6E7C">
      <w:pPr>
        <w:spacing w:after="120"/>
        <w:ind w:left="720" w:hanging="720"/>
        <w:rPr>
          <w:rFonts w:ascii="Garamond" w:hAnsi="Garamond"/>
          <w:sz w:val="23"/>
          <w:szCs w:val="23"/>
        </w:rPr>
      </w:pPr>
      <w:r w:rsidRPr="00F11A75">
        <w:rPr>
          <w:rFonts w:ascii="Garamond" w:hAnsi="Garamond"/>
          <w:sz w:val="23"/>
          <w:szCs w:val="23"/>
        </w:rPr>
        <w:t xml:space="preserve">Dessein, W. 2002. “Authority and Communication in Organizations”, </w:t>
      </w:r>
      <w:r w:rsidRPr="00F11A75">
        <w:rPr>
          <w:rFonts w:ascii="Garamond" w:hAnsi="Garamond"/>
          <w:i/>
          <w:sz w:val="23"/>
          <w:szCs w:val="23"/>
        </w:rPr>
        <w:t>Review of Economic Studies</w:t>
      </w:r>
      <w:r w:rsidRPr="00F11A75">
        <w:rPr>
          <w:rFonts w:ascii="Garamond" w:hAnsi="Garamond"/>
          <w:sz w:val="23"/>
          <w:szCs w:val="23"/>
        </w:rPr>
        <w:t>, 69, 811-838.</w:t>
      </w:r>
    </w:p>
    <w:p w14:paraId="6981A459" w14:textId="130FFBA2" w:rsidR="00515759" w:rsidRPr="00F11A75" w:rsidRDefault="00515759" w:rsidP="000C6E7C">
      <w:pPr>
        <w:spacing w:after="120"/>
        <w:ind w:left="720" w:hanging="720"/>
        <w:rPr>
          <w:rFonts w:ascii="Garamond" w:hAnsi="Garamond"/>
          <w:iCs/>
          <w:sz w:val="23"/>
          <w:szCs w:val="23"/>
        </w:rPr>
      </w:pPr>
      <w:r w:rsidRPr="00F11A75">
        <w:rPr>
          <w:rFonts w:ascii="Garamond" w:hAnsi="Garamond"/>
          <w:sz w:val="23"/>
          <w:szCs w:val="23"/>
        </w:rPr>
        <w:t xml:space="preserve">Djankov, Simeon, and Peter Murrell. 2002. </w:t>
      </w:r>
      <w:r w:rsidR="00F451FE" w:rsidRPr="00F11A75">
        <w:rPr>
          <w:rFonts w:ascii="Garamond" w:hAnsi="Garamond"/>
          <w:sz w:val="23"/>
          <w:szCs w:val="23"/>
        </w:rPr>
        <w:t>“</w:t>
      </w:r>
      <w:r w:rsidRPr="00F11A75">
        <w:rPr>
          <w:rFonts w:ascii="Garamond" w:hAnsi="Garamond"/>
          <w:sz w:val="23"/>
          <w:szCs w:val="23"/>
        </w:rPr>
        <w:t>Enterprise Restructuring in Transition: A Quantitative Survey.</w:t>
      </w:r>
      <w:r w:rsidR="00F451FE" w:rsidRPr="00F11A75">
        <w:rPr>
          <w:rFonts w:ascii="Garamond" w:hAnsi="Garamond"/>
          <w:sz w:val="23"/>
          <w:szCs w:val="23"/>
        </w:rPr>
        <w:t>”</w:t>
      </w:r>
      <w:r w:rsidRPr="00F11A75">
        <w:rPr>
          <w:rFonts w:ascii="Garamond" w:hAnsi="Garamond"/>
          <w:sz w:val="23"/>
          <w:szCs w:val="23"/>
        </w:rPr>
        <w:t xml:space="preserve"> </w:t>
      </w:r>
      <w:r w:rsidRPr="00F11A75">
        <w:rPr>
          <w:rFonts w:ascii="Garamond" w:hAnsi="Garamond"/>
          <w:i/>
          <w:iCs/>
          <w:sz w:val="23"/>
          <w:szCs w:val="23"/>
        </w:rPr>
        <w:t>Journal of Economic Literature</w:t>
      </w:r>
      <w:r w:rsidR="00973D78">
        <w:rPr>
          <w:rFonts w:ascii="Garamond" w:hAnsi="Garamond" w:hint="eastAsia"/>
          <w:iCs/>
          <w:sz w:val="23"/>
          <w:szCs w:val="23"/>
        </w:rPr>
        <w:t>, 40(3), 739-792.</w:t>
      </w:r>
    </w:p>
    <w:p w14:paraId="2D8AD807" w14:textId="1C078C59" w:rsidR="00515759" w:rsidRPr="00F11A75" w:rsidRDefault="00515759" w:rsidP="000C6E7C">
      <w:pPr>
        <w:spacing w:after="120"/>
        <w:ind w:left="720" w:hanging="720"/>
        <w:rPr>
          <w:rFonts w:ascii="Garamond" w:eastAsia="FZShuTi" w:hAnsi="Garamond"/>
          <w:sz w:val="23"/>
          <w:szCs w:val="23"/>
        </w:rPr>
      </w:pPr>
      <w:r w:rsidRPr="00F11A75">
        <w:rPr>
          <w:rFonts w:ascii="Garamond" w:eastAsia="FZShuTi" w:hAnsi="Garamond"/>
          <w:sz w:val="23"/>
          <w:szCs w:val="23"/>
        </w:rPr>
        <w:t xml:space="preserve">Estrin S, Hanousek J, Kočenda E, Svejnar, J., 2009. “The effects of privatization and ownership in transition economies.” </w:t>
      </w:r>
      <w:r w:rsidRPr="00F11A75">
        <w:rPr>
          <w:rFonts w:ascii="Garamond" w:eastAsia="FZShuTi" w:hAnsi="Garamond"/>
          <w:i/>
          <w:sz w:val="23"/>
          <w:szCs w:val="23"/>
        </w:rPr>
        <w:t>Journal of Economic Literature</w:t>
      </w:r>
      <w:r w:rsidRPr="00F11A75">
        <w:rPr>
          <w:rFonts w:ascii="Garamond" w:eastAsia="FZShuTi" w:hAnsi="Garamond"/>
          <w:sz w:val="23"/>
          <w:szCs w:val="23"/>
        </w:rPr>
        <w:t xml:space="preserve">, </w:t>
      </w:r>
      <w:r w:rsidR="00973D78">
        <w:rPr>
          <w:rFonts w:ascii="Garamond" w:eastAsia="FZShuTi" w:hAnsi="Garamond" w:hint="eastAsia"/>
          <w:sz w:val="23"/>
          <w:szCs w:val="23"/>
        </w:rPr>
        <w:t xml:space="preserve">47(3), </w:t>
      </w:r>
      <w:r w:rsidRPr="00F11A75">
        <w:rPr>
          <w:rFonts w:ascii="Garamond" w:eastAsia="FZShuTi" w:hAnsi="Garamond"/>
          <w:sz w:val="23"/>
          <w:szCs w:val="23"/>
        </w:rPr>
        <w:t>699-728.</w:t>
      </w:r>
    </w:p>
    <w:p w14:paraId="428E5B63" w14:textId="6735401A" w:rsidR="00515759" w:rsidRPr="00F11A75" w:rsidRDefault="00515759" w:rsidP="000C6E7C">
      <w:pPr>
        <w:spacing w:after="120"/>
        <w:ind w:left="720" w:hanging="720"/>
        <w:rPr>
          <w:rFonts w:ascii="Garamond" w:eastAsia="FZShuTi" w:hAnsi="Garamond"/>
          <w:sz w:val="23"/>
          <w:szCs w:val="23"/>
        </w:rPr>
      </w:pPr>
      <w:r w:rsidRPr="00F11A75">
        <w:rPr>
          <w:rFonts w:ascii="Garamond" w:eastAsia="FZShuTi" w:hAnsi="Garamond"/>
          <w:sz w:val="23"/>
          <w:szCs w:val="23"/>
        </w:rPr>
        <w:t xml:space="preserve">Estrin, S. and V. Perotin, 1991. “Does ownership always matter?” </w:t>
      </w:r>
      <w:r w:rsidRPr="00F11A75">
        <w:rPr>
          <w:rFonts w:ascii="Garamond" w:eastAsia="FZShuTi" w:hAnsi="Garamond"/>
          <w:i/>
          <w:sz w:val="23"/>
          <w:szCs w:val="23"/>
        </w:rPr>
        <w:t>International Journal of Industrial Organization</w:t>
      </w:r>
      <w:r w:rsidR="00973D78">
        <w:rPr>
          <w:rFonts w:ascii="Garamond" w:eastAsia="FZShuTi" w:hAnsi="Garamond" w:hint="eastAsia"/>
          <w:i/>
          <w:sz w:val="23"/>
          <w:szCs w:val="23"/>
        </w:rPr>
        <w:t>,</w:t>
      </w:r>
      <w:r w:rsidRPr="00F11A75">
        <w:rPr>
          <w:rFonts w:ascii="Garamond" w:eastAsia="FZShuTi" w:hAnsi="Garamond"/>
          <w:i/>
          <w:sz w:val="23"/>
          <w:szCs w:val="23"/>
        </w:rPr>
        <w:t xml:space="preserve"> </w:t>
      </w:r>
      <w:r w:rsidRPr="00F11A75">
        <w:rPr>
          <w:rFonts w:ascii="Garamond" w:eastAsia="FZShuTi" w:hAnsi="Garamond"/>
          <w:sz w:val="23"/>
          <w:szCs w:val="23"/>
        </w:rPr>
        <w:t>9(1), 55–73.</w:t>
      </w:r>
    </w:p>
    <w:p w14:paraId="6A54AC72" w14:textId="00E925E0" w:rsidR="00515759" w:rsidRPr="00F11A75" w:rsidRDefault="00515759" w:rsidP="000C6E7C">
      <w:pPr>
        <w:spacing w:after="120"/>
        <w:ind w:left="720" w:hanging="720"/>
        <w:rPr>
          <w:rFonts w:ascii="Garamond" w:hAnsi="Garamond"/>
          <w:sz w:val="23"/>
          <w:szCs w:val="23"/>
        </w:rPr>
      </w:pPr>
      <w:r w:rsidRPr="00F11A75">
        <w:rPr>
          <w:rFonts w:ascii="Garamond" w:hAnsi="Garamond"/>
          <w:iCs/>
          <w:sz w:val="23"/>
          <w:szCs w:val="23"/>
        </w:rPr>
        <w:t xml:space="preserve">Garicano, L. 2000. </w:t>
      </w:r>
      <w:r w:rsidRPr="00F11A75">
        <w:rPr>
          <w:rFonts w:ascii="Garamond" w:hAnsi="Garamond"/>
          <w:sz w:val="23"/>
          <w:szCs w:val="23"/>
        </w:rPr>
        <w:t>“Hierarchies and the Organization of Knowledge in Production”,</w:t>
      </w:r>
      <w:r w:rsidRPr="00F11A75">
        <w:rPr>
          <w:rFonts w:ascii="Garamond" w:hAnsi="Garamond"/>
          <w:i/>
          <w:sz w:val="23"/>
          <w:szCs w:val="23"/>
        </w:rPr>
        <w:t xml:space="preserve"> Journal of Political Economy</w:t>
      </w:r>
      <w:r w:rsidRPr="00F11A75">
        <w:rPr>
          <w:rFonts w:ascii="Garamond" w:hAnsi="Garamond"/>
          <w:sz w:val="23"/>
          <w:szCs w:val="23"/>
        </w:rPr>
        <w:t>, 108(5), 874-904.</w:t>
      </w:r>
    </w:p>
    <w:p w14:paraId="4D687631" w14:textId="51DF110D" w:rsidR="00515759" w:rsidRPr="00F11A75" w:rsidRDefault="00515759" w:rsidP="000C6E7C">
      <w:pPr>
        <w:spacing w:after="120"/>
        <w:ind w:left="720" w:right="144" w:hanging="720"/>
        <w:rPr>
          <w:rFonts w:ascii="Garamond" w:hAnsi="Garamond"/>
          <w:iCs/>
          <w:sz w:val="23"/>
          <w:szCs w:val="23"/>
        </w:rPr>
      </w:pPr>
      <w:r w:rsidRPr="00F11A75">
        <w:rPr>
          <w:rFonts w:ascii="Garamond" w:hAnsi="Garamond"/>
          <w:iCs/>
          <w:sz w:val="23"/>
          <w:szCs w:val="23"/>
        </w:rPr>
        <w:t xml:space="preserve">Garicano, L. and E. Rossi-Hansberg. 2006. “Organization and inequality in a knowledge economy”. </w:t>
      </w:r>
      <w:r w:rsidRPr="00F11A75">
        <w:rPr>
          <w:rFonts w:ascii="Garamond" w:hAnsi="Garamond"/>
          <w:i/>
          <w:iCs/>
          <w:sz w:val="23"/>
          <w:szCs w:val="23"/>
        </w:rPr>
        <w:t>Quarterly Journal of Economics</w:t>
      </w:r>
      <w:r w:rsidRPr="00F11A75">
        <w:rPr>
          <w:rFonts w:ascii="Garamond" w:hAnsi="Garamond"/>
          <w:iCs/>
          <w:sz w:val="23"/>
          <w:szCs w:val="23"/>
        </w:rPr>
        <w:t xml:space="preserve">, </w:t>
      </w:r>
      <w:r w:rsidR="00973D78">
        <w:rPr>
          <w:rFonts w:ascii="Garamond" w:hAnsi="Garamond" w:hint="eastAsia"/>
          <w:iCs/>
          <w:sz w:val="23"/>
          <w:szCs w:val="23"/>
        </w:rPr>
        <w:t xml:space="preserve">121(4), </w:t>
      </w:r>
      <w:r w:rsidRPr="00F11A75">
        <w:rPr>
          <w:rFonts w:ascii="Garamond" w:hAnsi="Garamond"/>
          <w:iCs/>
          <w:sz w:val="23"/>
          <w:szCs w:val="23"/>
        </w:rPr>
        <w:t>1383-1435.</w:t>
      </w:r>
    </w:p>
    <w:p w14:paraId="3B8B1B67" w14:textId="0B5EC298" w:rsidR="00515759" w:rsidRPr="00F11A75" w:rsidRDefault="00515759" w:rsidP="000C6E7C">
      <w:pPr>
        <w:autoSpaceDE w:val="0"/>
        <w:autoSpaceDN w:val="0"/>
        <w:adjustRightInd w:val="0"/>
        <w:spacing w:after="120"/>
        <w:ind w:left="690" w:hangingChars="300" w:hanging="690"/>
        <w:rPr>
          <w:rFonts w:ascii="Garamond" w:hAnsi="Garamond"/>
          <w:iCs/>
          <w:sz w:val="23"/>
          <w:szCs w:val="23"/>
        </w:rPr>
      </w:pPr>
      <w:r w:rsidRPr="00F11A75">
        <w:rPr>
          <w:rFonts w:ascii="Garamond" w:hAnsi="Garamond"/>
          <w:iCs/>
          <w:sz w:val="23"/>
          <w:szCs w:val="23"/>
        </w:rPr>
        <w:t xml:space="preserve">Garmaise, M. and T. Moskowitz, 2004, “Confronting Information Asymmetries: Evidence from Real Estate Markets,” </w:t>
      </w:r>
      <w:r w:rsidRPr="00F11A75">
        <w:rPr>
          <w:rFonts w:ascii="Garamond" w:hAnsi="Garamond"/>
          <w:i/>
          <w:iCs/>
          <w:sz w:val="23"/>
          <w:szCs w:val="23"/>
        </w:rPr>
        <w:t>Review of Financial Studies</w:t>
      </w:r>
      <w:r w:rsidRPr="00F11A75">
        <w:rPr>
          <w:rFonts w:ascii="Garamond" w:hAnsi="Garamond"/>
          <w:iCs/>
          <w:sz w:val="23"/>
          <w:szCs w:val="23"/>
        </w:rPr>
        <w:t>, 16(4), 1007-1040.</w:t>
      </w:r>
    </w:p>
    <w:p w14:paraId="62A723F2" w14:textId="44223AC7" w:rsidR="00515759" w:rsidRPr="00F11A75" w:rsidRDefault="00515759" w:rsidP="000C6E7C">
      <w:pPr>
        <w:spacing w:after="120"/>
        <w:ind w:left="720" w:right="144" w:hanging="720"/>
        <w:rPr>
          <w:rFonts w:ascii="Garamond" w:hAnsi="Garamond"/>
          <w:i/>
          <w:iCs/>
          <w:sz w:val="23"/>
          <w:szCs w:val="23"/>
        </w:rPr>
      </w:pPr>
      <w:r w:rsidRPr="00F11A75">
        <w:rPr>
          <w:rFonts w:ascii="Garamond" w:hAnsi="Garamond"/>
          <w:iCs/>
          <w:sz w:val="23"/>
          <w:szCs w:val="23"/>
        </w:rPr>
        <w:t xml:space="preserve">Giroud, X. 2013, “Proximity and investment: evidence from plant-level data”. </w:t>
      </w:r>
      <w:r w:rsidRPr="00F11A75">
        <w:rPr>
          <w:rFonts w:ascii="Garamond" w:hAnsi="Garamond"/>
          <w:i/>
          <w:iCs/>
          <w:sz w:val="23"/>
          <w:szCs w:val="23"/>
        </w:rPr>
        <w:t xml:space="preserve">Quarterly Journal of </w:t>
      </w:r>
      <w:r w:rsidRPr="00F11A75">
        <w:rPr>
          <w:rFonts w:ascii="Garamond" w:hAnsi="Garamond"/>
          <w:i/>
          <w:iCs/>
          <w:sz w:val="23"/>
          <w:szCs w:val="23"/>
        </w:rPr>
        <w:lastRenderedPageBreak/>
        <w:t>Economics</w:t>
      </w:r>
      <w:r w:rsidRPr="00F11A75">
        <w:rPr>
          <w:rFonts w:ascii="Garamond" w:hAnsi="Garamond"/>
          <w:iCs/>
          <w:sz w:val="23"/>
          <w:szCs w:val="23"/>
        </w:rPr>
        <w:t xml:space="preserve">, </w:t>
      </w:r>
      <w:r w:rsidR="00973D78">
        <w:rPr>
          <w:rFonts w:ascii="Garamond" w:hAnsi="Garamond" w:hint="eastAsia"/>
          <w:iCs/>
          <w:sz w:val="23"/>
          <w:szCs w:val="23"/>
        </w:rPr>
        <w:t xml:space="preserve">128(2), </w:t>
      </w:r>
      <w:r w:rsidRPr="00F11A75">
        <w:rPr>
          <w:rFonts w:ascii="Garamond" w:hAnsi="Garamond"/>
          <w:iCs/>
          <w:sz w:val="23"/>
          <w:szCs w:val="23"/>
        </w:rPr>
        <w:t>861-915.</w:t>
      </w:r>
    </w:p>
    <w:p w14:paraId="411AD979" w14:textId="77777777" w:rsidR="00515759" w:rsidRDefault="00515759" w:rsidP="000C6E7C">
      <w:pPr>
        <w:spacing w:after="120"/>
        <w:ind w:left="720" w:right="144" w:hanging="720"/>
        <w:rPr>
          <w:rFonts w:ascii="Garamond" w:hAnsi="Garamond"/>
          <w:sz w:val="23"/>
          <w:szCs w:val="23"/>
        </w:rPr>
      </w:pPr>
      <w:r w:rsidRPr="00F11A75">
        <w:rPr>
          <w:rFonts w:ascii="Garamond" w:hAnsi="Garamond"/>
          <w:sz w:val="23"/>
          <w:szCs w:val="23"/>
        </w:rPr>
        <w:t xml:space="preserve">Grinblatt, M. and M. Keloharju 2001. “How Distance, Language, and Culture Influence Stockholdings and Trades,” </w:t>
      </w:r>
      <w:r w:rsidRPr="00F11A75">
        <w:rPr>
          <w:rFonts w:ascii="Garamond" w:hAnsi="Garamond"/>
          <w:i/>
          <w:sz w:val="23"/>
          <w:szCs w:val="23"/>
        </w:rPr>
        <w:t>Journal of Finance</w:t>
      </w:r>
      <w:r w:rsidRPr="00F11A75">
        <w:rPr>
          <w:rFonts w:ascii="Garamond" w:hAnsi="Garamond"/>
          <w:sz w:val="23"/>
          <w:szCs w:val="23"/>
        </w:rPr>
        <w:t xml:space="preserve">, 56(3), 1053-1073. </w:t>
      </w:r>
    </w:p>
    <w:p w14:paraId="0ABBEABD" w14:textId="450A7A75" w:rsidR="0014351B" w:rsidRPr="0014351B" w:rsidRDefault="0014351B" w:rsidP="000C6E7C">
      <w:pPr>
        <w:spacing w:after="120"/>
        <w:ind w:left="720" w:right="144" w:hanging="720"/>
        <w:rPr>
          <w:rFonts w:ascii="Garamond" w:hAnsi="Garamond"/>
          <w:sz w:val="23"/>
          <w:szCs w:val="23"/>
        </w:rPr>
      </w:pPr>
      <w:r w:rsidRPr="0014351B">
        <w:rPr>
          <w:rFonts w:ascii="Garamond" w:hAnsi="Garamond"/>
          <w:bCs/>
          <w:color w:val="333333"/>
          <w:sz w:val="23"/>
          <w:szCs w:val="23"/>
        </w:rPr>
        <w:t>Hayek, Friedrich A.</w:t>
      </w:r>
      <w:r w:rsidRPr="0014351B">
        <w:rPr>
          <w:rFonts w:ascii="Garamond" w:hAnsi="Garamond"/>
          <w:bCs/>
          <w:color w:val="333333"/>
          <w:sz w:val="23"/>
          <w:szCs w:val="23"/>
        </w:rPr>
        <w:t xml:space="preserve"> 1945. “The Use of Knowledge in Soceity.” </w:t>
      </w:r>
      <w:r w:rsidRPr="0014351B">
        <w:rPr>
          <w:rFonts w:ascii="Garamond" w:hAnsi="Garamond"/>
          <w:bCs/>
          <w:i/>
          <w:color w:val="333333"/>
          <w:sz w:val="23"/>
          <w:szCs w:val="23"/>
        </w:rPr>
        <w:t>American Economic Review</w:t>
      </w:r>
      <w:r w:rsidRPr="0014351B">
        <w:rPr>
          <w:rFonts w:ascii="Garamond" w:hAnsi="Garamond"/>
          <w:bCs/>
          <w:color w:val="333333"/>
          <w:sz w:val="23"/>
          <w:szCs w:val="23"/>
        </w:rPr>
        <w:t xml:space="preserve"> 35(4), 519-530.</w:t>
      </w:r>
    </w:p>
    <w:p w14:paraId="674B2485" w14:textId="77777777" w:rsidR="00515759" w:rsidRPr="00F11A75" w:rsidRDefault="00515759" w:rsidP="000C6E7C">
      <w:pPr>
        <w:spacing w:after="120"/>
        <w:ind w:left="720" w:right="144" w:hanging="720"/>
        <w:rPr>
          <w:rFonts w:ascii="Garamond" w:hAnsi="Garamond"/>
          <w:sz w:val="23"/>
          <w:szCs w:val="23"/>
        </w:rPr>
      </w:pPr>
      <w:r w:rsidRPr="00F11A75">
        <w:rPr>
          <w:rFonts w:ascii="Garamond" w:hAnsi="Garamond"/>
          <w:sz w:val="23"/>
          <w:szCs w:val="23"/>
        </w:rPr>
        <w:t xml:space="preserve">Hicks, J. R., 1935. “Annual survey of economic theory: the theory of monopoly.” </w:t>
      </w:r>
      <w:r w:rsidRPr="00F11A75">
        <w:rPr>
          <w:rFonts w:ascii="Garamond" w:hAnsi="Garamond"/>
          <w:i/>
          <w:sz w:val="23"/>
          <w:szCs w:val="23"/>
        </w:rPr>
        <w:t>Econometrica</w:t>
      </w:r>
      <w:r w:rsidRPr="00F11A75">
        <w:rPr>
          <w:rFonts w:ascii="Garamond" w:hAnsi="Garamond"/>
          <w:sz w:val="23"/>
          <w:szCs w:val="23"/>
        </w:rPr>
        <w:t>, 1-20.</w:t>
      </w:r>
    </w:p>
    <w:p w14:paraId="48C4E825" w14:textId="221A6E8F" w:rsidR="00515759" w:rsidRPr="00F11A75" w:rsidRDefault="00515759" w:rsidP="000C6E7C">
      <w:pPr>
        <w:spacing w:after="120"/>
        <w:ind w:left="720" w:right="144" w:hanging="720"/>
        <w:rPr>
          <w:rFonts w:ascii="Garamond" w:hAnsi="Garamond"/>
          <w:sz w:val="23"/>
          <w:szCs w:val="23"/>
        </w:rPr>
      </w:pPr>
      <w:r w:rsidRPr="00F11A75">
        <w:rPr>
          <w:rFonts w:ascii="Garamond" w:hAnsi="Garamond"/>
          <w:sz w:val="23"/>
          <w:szCs w:val="23"/>
        </w:rPr>
        <w:t>Li, Lixing and Guangrong Ma 201</w:t>
      </w:r>
      <w:r w:rsidR="00B57E72">
        <w:rPr>
          <w:rFonts w:ascii="Garamond" w:hAnsi="Garamond"/>
          <w:sz w:val="23"/>
          <w:szCs w:val="23"/>
        </w:rPr>
        <w:t>5</w:t>
      </w:r>
      <w:r w:rsidRPr="00F11A75">
        <w:rPr>
          <w:rFonts w:ascii="Garamond" w:hAnsi="Garamond"/>
          <w:sz w:val="23"/>
          <w:szCs w:val="23"/>
        </w:rPr>
        <w:t>. “</w:t>
      </w:r>
      <w:r w:rsidRPr="00F11A75">
        <w:rPr>
          <w:rFonts w:ascii="Garamond" w:eastAsia="KaiTi_GB2312" w:hAnsi="Garamond"/>
          <w:sz w:val="23"/>
          <w:szCs w:val="23"/>
        </w:rPr>
        <w:t>Government Size and Tax Evasion: Evidence from China.”</w:t>
      </w:r>
      <w:r w:rsidR="00B57E72" w:rsidRPr="00C25191">
        <w:rPr>
          <w:rFonts w:ascii="Garamond" w:eastAsia="KaiTi_GB2312" w:hAnsi="Garamond"/>
          <w:i/>
          <w:sz w:val="23"/>
          <w:szCs w:val="23"/>
        </w:rPr>
        <w:t>Pacific Economic Review</w:t>
      </w:r>
      <w:r w:rsidR="00B57E72">
        <w:rPr>
          <w:rFonts w:ascii="Garamond" w:eastAsia="KaiTi_GB2312" w:hAnsi="Garamond"/>
          <w:sz w:val="23"/>
          <w:szCs w:val="23"/>
        </w:rPr>
        <w:t>, 20(2), 346-364.</w:t>
      </w:r>
      <w:r w:rsidRPr="00F11A75">
        <w:rPr>
          <w:rFonts w:ascii="Garamond" w:eastAsia="KaiTi_GB2312" w:hAnsi="Garamond"/>
          <w:sz w:val="23"/>
          <w:szCs w:val="23"/>
        </w:rPr>
        <w:t>.</w:t>
      </w:r>
    </w:p>
    <w:p w14:paraId="450AA783" w14:textId="77777777" w:rsidR="00515759" w:rsidRPr="00F11A75" w:rsidRDefault="00515759" w:rsidP="000C6E7C">
      <w:pPr>
        <w:spacing w:after="120"/>
        <w:ind w:left="720" w:right="144" w:hanging="720"/>
        <w:rPr>
          <w:rFonts w:ascii="Garamond" w:hAnsi="Garamond"/>
          <w:sz w:val="23"/>
          <w:szCs w:val="23"/>
        </w:rPr>
      </w:pPr>
      <w:r w:rsidRPr="00F11A75">
        <w:rPr>
          <w:rFonts w:ascii="Garamond" w:hAnsi="Garamond"/>
          <w:sz w:val="23"/>
          <w:szCs w:val="23"/>
        </w:rPr>
        <w:t>Li, Wei, Lixin Colin Xu 2004. “</w:t>
      </w:r>
      <w:hyperlink r:id="rId8" w:history="1">
        <w:r w:rsidRPr="00F11A75">
          <w:rPr>
            <w:rStyle w:val="Hyperlink"/>
            <w:rFonts w:ascii="Garamond" w:hAnsi="Garamond"/>
            <w:color w:val="auto"/>
            <w:sz w:val="23"/>
            <w:szCs w:val="23"/>
            <w:u w:val="none"/>
          </w:rPr>
          <w:t>The Impact of Privatization and Competition in the Telecommunications Sector around the World</w:t>
        </w:r>
      </w:hyperlink>
      <w:r w:rsidRPr="00F11A75">
        <w:rPr>
          <w:rFonts w:ascii="Garamond" w:hAnsi="Garamond"/>
          <w:sz w:val="23"/>
          <w:szCs w:val="23"/>
        </w:rPr>
        <w:t xml:space="preserve">?” </w:t>
      </w:r>
      <w:r w:rsidRPr="00F11A75">
        <w:rPr>
          <w:rFonts w:ascii="Garamond" w:hAnsi="Garamond"/>
          <w:i/>
          <w:sz w:val="23"/>
          <w:szCs w:val="23"/>
        </w:rPr>
        <w:t>Journal of Law and Economics</w:t>
      </w:r>
      <w:r w:rsidRPr="00F11A75">
        <w:rPr>
          <w:rFonts w:ascii="Garamond" w:hAnsi="Garamond"/>
          <w:sz w:val="23"/>
          <w:szCs w:val="23"/>
        </w:rPr>
        <w:t xml:space="preserve"> XLVII (2), 395-430. </w:t>
      </w:r>
    </w:p>
    <w:p w14:paraId="44C91EC9" w14:textId="77777777" w:rsidR="0072728B" w:rsidRPr="00F11A75" w:rsidRDefault="0072728B" w:rsidP="000C6E7C">
      <w:pPr>
        <w:spacing w:after="120"/>
        <w:ind w:left="720" w:right="144" w:hanging="720"/>
        <w:rPr>
          <w:rFonts w:ascii="Garamond" w:hAnsi="Garamond"/>
          <w:sz w:val="23"/>
          <w:szCs w:val="23"/>
        </w:rPr>
      </w:pPr>
      <w:r w:rsidRPr="00F11A75">
        <w:rPr>
          <w:rFonts w:ascii="Garamond" w:hAnsi="Garamond"/>
          <w:sz w:val="23"/>
          <w:szCs w:val="23"/>
        </w:rPr>
        <w:t>Li, Yunsen and Cheryl Long 2013. “</w:t>
      </w:r>
      <w:r w:rsidR="0055456C" w:rsidRPr="00F11A75">
        <w:rPr>
          <w:rFonts w:ascii="Garamond" w:hAnsi="Garamond"/>
          <w:sz w:val="23"/>
          <w:szCs w:val="23"/>
        </w:rPr>
        <w:t>Historical Events and Regional Development: Evidence from China’s Third Front Construction</w:t>
      </w:r>
      <w:r w:rsidRPr="00F11A75">
        <w:rPr>
          <w:rFonts w:ascii="Garamond" w:hAnsi="Garamond"/>
          <w:sz w:val="23"/>
          <w:szCs w:val="23"/>
        </w:rPr>
        <w:t>.” Manuscript, Xiamen University.</w:t>
      </w:r>
    </w:p>
    <w:p w14:paraId="72AEE8D2" w14:textId="6B1021FD" w:rsidR="00515759" w:rsidRPr="00F11A75" w:rsidRDefault="00515759" w:rsidP="000C6E7C">
      <w:pPr>
        <w:spacing w:after="120"/>
        <w:ind w:left="720" w:right="144" w:hanging="720"/>
        <w:rPr>
          <w:rFonts w:ascii="Garamond" w:hAnsi="Garamond"/>
          <w:sz w:val="23"/>
          <w:szCs w:val="23"/>
        </w:rPr>
      </w:pPr>
      <w:r w:rsidRPr="00F11A75">
        <w:rPr>
          <w:rFonts w:ascii="Garamond" w:hAnsi="Garamond"/>
          <w:sz w:val="23"/>
          <w:szCs w:val="23"/>
        </w:rPr>
        <w:t>Markevich, A. and E. Zhuravskaya, 2011, “M-form hierarchy with poorly-diversified divisions: A case of Khrushchev</w:t>
      </w:r>
      <w:r w:rsidR="00F451FE" w:rsidRPr="00F11A75">
        <w:rPr>
          <w:rFonts w:ascii="Garamond" w:hAnsi="Garamond"/>
          <w:sz w:val="23"/>
          <w:szCs w:val="23"/>
        </w:rPr>
        <w:t>’</w:t>
      </w:r>
      <w:r w:rsidRPr="00F11A75">
        <w:rPr>
          <w:rFonts w:ascii="Garamond" w:hAnsi="Garamond"/>
          <w:sz w:val="23"/>
          <w:szCs w:val="23"/>
        </w:rPr>
        <w:t xml:space="preserve">s reform in Soviet Russia”, </w:t>
      </w:r>
      <w:r w:rsidRPr="00F11A75">
        <w:rPr>
          <w:rFonts w:ascii="Garamond" w:hAnsi="Garamond"/>
          <w:i/>
          <w:sz w:val="23"/>
          <w:szCs w:val="23"/>
        </w:rPr>
        <w:t>Journal of Public Economics</w:t>
      </w:r>
      <w:r w:rsidR="00E62585">
        <w:rPr>
          <w:rFonts w:ascii="Garamond" w:hAnsi="Garamond"/>
          <w:sz w:val="23"/>
          <w:szCs w:val="23"/>
        </w:rPr>
        <w:t xml:space="preserve"> 95(11-12), 1550-1560.</w:t>
      </w:r>
    </w:p>
    <w:p w14:paraId="3B26BE65" w14:textId="77777777" w:rsidR="00515759" w:rsidRPr="00F11A75" w:rsidRDefault="00515759" w:rsidP="000C6E7C">
      <w:pPr>
        <w:pStyle w:val="Outline1"/>
        <w:keepNext w:val="0"/>
        <w:numPr>
          <w:ilvl w:val="0"/>
          <w:numId w:val="0"/>
        </w:numPr>
        <w:spacing w:before="0" w:after="120"/>
        <w:ind w:left="720" w:right="144" w:hanging="720"/>
        <w:jc w:val="both"/>
        <w:rPr>
          <w:rStyle w:val="Hyperlink"/>
          <w:rFonts w:ascii="Garamond" w:hAnsi="Garamond"/>
          <w:color w:val="auto"/>
          <w:sz w:val="23"/>
          <w:szCs w:val="23"/>
          <w:u w:val="none"/>
        </w:rPr>
      </w:pPr>
      <w:r w:rsidRPr="00F11A75">
        <w:rPr>
          <w:rFonts w:ascii="Garamond" w:hAnsi="Garamond"/>
          <w:sz w:val="23"/>
          <w:szCs w:val="23"/>
        </w:rPr>
        <w:t xml:space="preserve">Maskin, </w:t>
      </w:r>
      <w:r w:rsidRPr="00F11A75">
        <w:rPr>
          <w:rFonts w:ascii="Garamond" w:hAnsi="Garamond"/>
          <w:sz w:val="23"/>
          <w:szCs w:val="23"/>
          <w:lang w:eastAsia="zh-CN"/>
        </w:rPr>
        <w:t xml:space="preserve">E., Y. </w:t>
      </w:r>
      <w:r w:rsidRPr="00F11A75">
        <w:rPr>
          <w:rFonts w:ascii="Garamond" w:hAnsi="Garamond"/>
          <w:sz w:val="23"/>
          <w:szCs w:val="23"/>
        </w:rPr>
        <w:t xml:space="preserve">Qian and </w:t>
      </w:r>
      <w:r w:rsidRPr="00F11A75">
        <w:rPr>
          <w:rFonts w:ascii="Garamond" w:hAnsi="Garamond"/>
          <w:sz w:val="23"/>
          <w:szCs w:val="23"/>
          <w:lang w:eastAsia="zh-CN"/>
        </w:rPr>
        <w:t xml:space="preserve">C. </w:t>
      </w:r>
      <w:r w:rsidRPr="00F11A75">
        <w:rPr>
          <w:rFonts w:ascii="Garamond" w:hAnsi="Garamond"/>
          <w:sz w:val="23"/>
          <w:szCs w:val="23"/>
        </w:rPr>
        <w:t>Xu. 2002.</w:t>
      </w:r>
      <w:r w:rsidRPr="00F11A75">
        <w:rPr>
          <w:rStyle w:val="Hyperlink"/>
          <w:rFonts w:ascii="Garamond" w:hAnsi="Garamond"/>
          <w:color w:val="auto"/>
          <w:sz w:val="23"/>
          <w:szCs w:val="23"/>
          <w:u w:val="none"/>
        </w:rPr>
        <w:t xml:space="preserve"> “Incentives, Information, and Organizational Form</w:t>
      </w:r>
      <w:r w:rsidRPr="00F11A75">
        <w:rPr>
          <w:rStyle w:val="Hyperlink"/>
          <w:rFonts w:ascii="Garamond" w:hAnsi="Garamond"/>
          <w:color w:val="auto"/>
          <w:sz w:val="23"/>
          <w:szCs w:val="23"/>
          <w:u w:val="none"/>
          <w:lang w:eastAsia="zh-CN"/>
        </w:rPr>
        <w:t xml:space="preserve">,” </w:t>
      </w:r>
      <w:r w:rsidRPr="00F11A75">
        <w:rPr>
          <w:rFonts w:ascii="Garamond" w:hAnsi="Garamond"/>
          <w:i/>
          <w:sz w:val="23"/>
          <w:szCs w:val="23"/>
        </w:rPr>
        <w:t>Review of Economic Studies</w:t>
      </w:r>
      <w:r w:rsidRPr="00F11A75">
        <w:rPr>
          <w:rFonts w:ascii="Garamond" w:hAnsi="Garamond"/>
          <w:sz w:val="23"/>
          <w:szCs w:val="23"/>
        </w:rPr>
        <w:t>, 67, 359-378.</w:t>
      </w:r>
      <w:r w:rsidRPr="00F11A75">
        <w:rPr>
          <w:rStyle w:val="Hyperlink"/>
          <w:rFonts w:ascii="Garamond" w:hAnsi="Garamond"/>
          <w:color w:val="auto"/>
          <w:sz w:val="23"/>
          <w:szCs w:val="23"/>
          <w:u w:val="none"/>
        </w:rPr>
        <w:t xml:space="preserve"> </w:t>
      </w:r>
    </w:p>
    <w:p w14:paraId="67B000BC" w14:textId="64F4D008" w:rsidR="00515759" w:rsidRPr="00F11A75" w:rsidRDefault="00515759" w:rsidP="000C6E7C">
      <w:pPr>
        <w:pStyle w:val="Outline1"/>
        <w:keepNext w:val="0"/>
        <w:numPr>
          <w:ilvl w:val="0"/>
          <w:numId w:val="0"/>
        </w:numPr>
        <w:spacing w:before="0" w:after="120"/>
        <w:ind w:left="720" w:right="144" w:hanging="720"/>
        <w:jc w:val="both"/>
        <w:rPr>
          <w:rFonts w:ascii="Garamond" w:hAnsi="Garamond"/>
          <w:sz w:val="23"/>
          <w:szCs w:val="23"/>
        </w:rPr>
      </w:pPr>
      <w:r w:rsidRPr="00F11A75">
        <w:rPr>
          <w:rFonts w:ascii="Garamond" w:hAnsi="Garamond"/>
          <w:sz w:val="23"/>
          <w:szCs w:val="23"/>
        </w:rPr>
        <w:t xml:space="preserve">Mian, Atif, 2006. “Distance Constraints: The Limits of Foreign Lending in Poor Economies”, </w:t>
      </w:r>
      <w:r w:rsidRPr="00F11A75">
        <w:rPr>
          <w:rFonts w:ascii="Garamond" w:hAnsi="Garamond"/>
          <w:i/>
          <w:sz w:val="23"/>
          <w:szCs w:val="23"/>
        </w:rPr>
        <w:t>Journal of Finance</w:t>
      </w:r>
      <w:r w:rsidRPr="00F11A75">
        <w:rPr>
          <w:rFonts w:ascii="Garamond" w:hAnsi="Garamond"/>
          <w:sz w:val="23"/>
          <w:szCs w:val="23"/>
        </w:rPr>
        <w:t>, 61, 1465–1505.</w:t>
      </w:r>
    </w:p>
    <w:p w14:paraId="679C6351" w14:textId="225DC61D" w:rsidR="00A07521" w:rsidRDefault="00A07521" w:rsidP="000C6E7C">
      <w:pPr>
        <w:autoSpaceDE w:val="0"/>
        <w:autoSpaceDN w:val="0"/>
        <w:adjustRightInd w:val="0"/>
        <w:spacing w:after="120"/>
        <w:ind w:left="575" w:hangingChars="250" w:hanging="575"/>
        <w:rPr>
          <w:rFonts w:ascii="Garamond" w:hAnsi="Garamond"/>
          <w:kern w:val="28"/>
          <w:sz w:val="23"/>
          <w:szCs w:val="23"/>
        </w:rPr>
      </w:pPr>
      <w:r>
        <w:rPr>
          <w:rFonts w:ascii="Garamond" w:hAnsi="Garamond" w:hint="eastAsia"/>
          <w:kern w:val="28"/>
          <w:sz w:val="23"/>
          <w:szCs w:val="23"/>
        </w:rPr>
        <w:t>Nie</w:t>
      </w:r>
      <w:r>
        <w:rPr>
          <w:rFonts w:ascii="Garamond" w:hAnsi="Garamond"/>
          <w:kern w:val="28"/>
          <w:sz w:val="23"/>
          <w:szCs w:val="23"/>
        </w:rPr>
        <w:t>, Huihua</w:t>
      </w:r>
      <w:r w:rsidR="00C2789F">
        <w:rPr>
          <w:rFonts w:ascii="Garamond" w:hAnsi="Garamond"/>
          <w:kern w:val="28"/>
          <w:sz w:val="23"/>
          <w:szCs w:val="23"/>
        </w:rPr>
        <w:t xml:space="preserve"> and</w:t>
      </w:r>
      <w:r>
        <w:rPr>
          <w:rFonts w:ascii="Garamond" w:hAnsi="Garamond"/>
          <w:kern w:val="28"/>
          <w:sz w:val="23"/>
          <w:szCs w:val="23"/>
        </w:rPr>
        <w:t xml:space="preserve"> </w:t>
      </w:r>
      <w:r w:rsidR="00C2789F">
        <w:rPr>
          <w:rFonts w:ascii="Garamond" w:hAnsi="Garamond"/>
          <w:kern w:val="28"/>
          <w:sz w:val="23"/>
          <w:szCs w:val="23"/>
        </w:rPr>
        <w:t>Minjie Jiang</w:t>
      </w:r>
      <w:r w:rsidR="0078089D">
        <w:rPr>
          <w:rFonts w:ascii="Garamond" w:hAnsi="Garamond"/>
          <w:kern w:val="28"/>
          <w:sz w:val="23"/>
          <w:szCs w:val="23"/>
        </w:rPr>
        <w:t>,</w:t>
      </w:r>
      <w:r>
        <w:rPr>
          <w:rFonts w:ascii="Garamond" w:hAnsi="Garamond" w:hint="eastAsia"/>
          <w:kern w:val="28"/>
          <w:sz w:val="23"/>
          <w:szCs w:val="23"/>
        </w:rPr>
        <w:t xml:space="preserve"> </w:t>
      </w:r>
      <w:r>
        <w:rPr>
          <w:rFonts w:ascii="Garamond" w:hAnsi="Garamond"/>
          <w:kern w:val="28"/>
          <w:sz w:val="23"/>
          <w:szCs w:val="23"/>
        </w:rPr>
        <w:t>201</w:t>
      </w:r>
      <w:r w:rsidR="00C2789F">
        <w:rPr>
          <w:rFonts w:ascii="Garamond" w:hAnsi="Garamond"/>
          <w:kern w:val="28"/>
          <w:sz w:val="23"/>
          <w:szCs w:val="23"/>
        </w:rPr>
        <w:t>1</w:t>
      </w:r>
      <w:r w:rsidR="0078089D">
        <w:rPr>
          <w:rFonts w:ascii="Garamond" w:hAnsi="Garamond"/>
          <w:kern w:val="28"/>
          <w:sz w:val="23"/>
          <w:szCs w:val="23"/>
        </w:rPr>
        <w:t>. “</w:t>
      </w:r>
      <w:r w:rsidR="00C2789F">
        <w:rPr>
          <w:rFonts w:ascii="Garamond" w:hAnsi="Garamond"/>
          <w:kern w:val="28"/>
          <w:sz w:val="23"/>
          <w:szCs w:val="23"/>
        </w:rPr>
        <w:t xml:space="preserve">Coalmine </w:t>
      </w:r>
      <w:r w:rsidR="0078089D">
        <w:rPr>
          <w:rFonts w:ascii="Garamond" w:hAnsi="Garamond"/>
          <w:kern w:val="28"/>
          <w:sz w:val="23"/>
          <w:szCs w:val="23"/>
        </w:rPr>
        <w:t xml:space="preserve">Accidents </w:t>
      </w:r>
      <w:r w:rsidR="00C2789F">
        <w:rPr>
          <w:rFonts w:ascii="Garamond" w:hAnsi="Garamond"/>
          <w:kern w:val="28"/>
          <w:sz w:val="23"/>
          <w:szCs w:val="23"/>
        </w:rPr>
        <w:t xml:space="preserve">and Collusion between Local Government and Firms: Evidence from Provincial Level Panel Data </w:t>
      </w:r>
      <w:r w:rsidR="0078089D">
        <w:rPr>
          <w:rFonts w:ascii="Garamond" w:hAnsi="Garamond"/>
          <w:kern w:val="28"/>
          <w:sz w:val="23"/>
          <w:szCs w:val="23"/>
        </w:rPr>
        <w:t>in China</w:t>
      </w:r>
      <w:r w:rsidR="00C2789F">
        <w:rPr>
          <w:rFonts w:ascii="Garamond" w:hAnsi="Garamond"/>
          <w:kern w:val="28"/>
          <w:sz w:val="23"/>
          <w:szCs w:val="23"/>
        </w:rPr>
        <w:t>,</w:t>
      </w:r>
      <w:r w:rsidR="0078089D">
        <w:rPr>
          <w:rFonts w:ascii="Garamond" w:hAnsi="Garamond"/>
          <w:kern w:val="28"/>
          <w:sz w:val="23"/>
          <w:szCs w:val="23"/>
        </w:rPr>
        <w:t>”</w:t>
      </w:r>
      <w:r w:rsidR="00C2789F">
        <w:rPr>
          <w:rFonts w:ascii="Garamond" w:hAnsi="Garamond"/>
          <w:kern w:val="28"/>
          <w:sz w:val="23"/>
          <w:szCs w:val="23"/>
        </w:rPr>
        <w:t xml:space="preserve"> </w:t>
      </w:r>
      <w:r w:rsidR="00C2789F" w:rsidRPr="00C2789F">
        <w:rPr>
          <w:rFonts w:ascii="Garamond" w:hAnsi="Garamond"/>
          <w:i/>
          <w:kern w:val="28"/>
          <w:sz w:val="23"/>
          <w:szCs w:val="23"/>
        </w:rPr>
        <w:t>Economic Research Journal</w:t>
      </w:r>
      <w:r w:rsidR="00C2789F">
        <w:rPr>
          <w:rFonts w:ascii="Garamond" w:hAnsi="Garamond"/>
          <w:kern w:val="28"/>
          <w:sz w:val="23"/>
          <w:szCs w:val="23"/>
        </w:rPr>
        <w:t xml:space="preserve"> (in Chinese), </w:t>
      </w:r>
      <w:r w:rsidR="00B57E72">
        <w:rPr>
          <w:rFonts w:ascii="Garamond" w:hAnsi="Garamond"/>
          <w:kern w:val="28"/>
          <w:sz w:val="23"/>
          <w:szCs w:val="23"/>
        </w:rPr>
        <w:t>6, 146-156.</w:t>
      </w:r>
    </w:p>
    <w:p w14:paraId="66191246" w14:textId="77777777" w:rsidR="00515759" w:rsidRPr="00F11A75" w:rsidRDefault="00515759" w:rsidP="000C6E7C">
      <w:pPr>
        <w:autoSpaceDE w:val="0"/>
        <w:autoSpaceDN w:val="0"/>
        <w:adjustRightInd w:val="0"/>
        <w:spacing w:after="120"/>
        <w:ind w:left="575" w:hangingChars="250" w:hanging="575"/>
        <w:rPr>
          <w:rFonts w:ascii="Garamond" w:hAnsi="Garamond"/>
          <w:kern w:val="28"/>
          <w:sz w:val="23"/>
          <w:szCs w:val="23"/>
        </w:rPr>
      </w:pPr>
      <w:r w:rsidRPr="00F11A75">
        <w:rPr>
          <w:rFonts w:ascii="Garamond" w:hAnsi="Garamond"/>
          <w:kern w:val="28"/>
          <w:sz w:val="23"/>
          <w:szCs w:val="23"/>
          <w:lang w:eastAsia="en-US"/>
        </w:rPr>
        <w:t xml:space="preserve">Petersen, Mitchell A., and Raghuram Rajan, 1994, “The benefits of firm-Evidence from small-business data”, </w:t>
      </w:r>
      <w:r w:rsidRPr="00F11A75">
        <w:rPr>
          <w:rFonts w:ascii="Garamond" w:hAnsi="Garamond"/>
          <w:i/>
          <w:kern w:val="28"/>
          <w:sz w:val="23"/>
          <w:szCs w:val="23"/>
          <w:lang w:eastAsia="en-US"/>
        </w:rPr>
        <w:t>Journal of Finance</w:t>
      </w:r>
      <w:r w:rsidRPr="00F11A75">
        <w:rPr>
          <w:rFonts w:ascii="Garamond" w:hAnsi="Garamond"/>
          <w:kern w:val="28"/>
          <w:sz w:val="23"/>
          <w:szCs w:val="23"/>
          <w:lang w:eastAsia="en-US"/>
        </w:rPr>
        <w:t xml:space="preserve"> 49, 3–37.</w:t>
      </w:r>
    </w:p>
    <w:p w14:paraId="6ADEE96F" w14:textId="77777777" w:rsidR="00515759" w:rsidRPr="00F11A75" w:rsidRDefault="00515759" w:rsidP="000C6E7C">
      <w:pPr>
        <w:autoSpaceDE w:val="0"/>
        <w:autoSpaceDN w:val="0"/>
        <w:adjustRightInd w:val="0"/>
        <w:spacing w:after="120"/>
        <w:ind w:left="575" w:hangingChars="250" w:hanging="575"/>
        <w:rPr>
          <w:rFonts w:ascii="Garamond" w:hAnsi="Garamond"/>
          <w:sz w:val="23"/>
          <w:szCs w:val="23"/>
        </w:rPr>
      </w:pPr>
      <w:r w:rsidRPr="00F11A75">
        <w:rPr>
          <w:rFonts w:ascii="Garamond" w:hAnsi="Garamond"/>
          <w:kern w:val="28"/>
          <w:sz w:val="23"/>
          <w:szCs w:val="23"/>
        </w:rPr>
        <w:t>Petersen, Mitchell A., and Raghuram G. Rajan, 2002. ‘‘Does Distance Still Matter? The Information Revolution in Small Business Lending,’’</w:t>
      </w:r>
      <w:r w:rsidRPr="00F11A75">
        <w:rPr>
          <w:rFonts w:ascii="Garamond" w:hAnsi="Garamond"/>
          <w:i/>
          <w:kern w:val="28"/>
          <w:sz w:val="23"/>
          <w:szCs w:val="23"/>
        </w:rPr>
        <w:t xml:space="preserve"> Journal of Finance</w:t>
      </w:r>
      <w:r w:rsidRPr="00F11A75">
        <w:rPr>
          <w:rFonts w:ascii="Garamond" w:hAnsi="Garamond"/>
          <w:kern w:val="28"/>
          <w:sz w:val="23"/>
          <w:szCs w:val="23"/>
        </w:rPr>
        <w:t>, 57, 2533–2570.</w:t>
      </w:r>
    </w:p>
    <w:p w14:paraId="04AE37A5" w14:textId="1EDDBD1E" w:rsidR="00515759" w:rsidRPr="00F11A75" w:rsidRDefault="00515759" w:rsidP="000C6E7C">
      <w:pPr>
        <w:pStyle w:val="Outline1"/>
        <w:keepNext w:val="0"/>
        <w:numPr>
          <w:ilvl w:val="0"/>
          <w:numId w:val="0"/>
        </w:numPr>
        <w:spacing w:before="0" w:after="120"/>
        <w:ind w:left="720" w:right="144" w:hanging="720"/>
        <w:jc w:val="both"/>
        <w:rPr>
          <w:rFonts w:ascii="Garamond" w:hAnsi="Garamond"/>
          <w:color w:val="333333"/>
          <w:sz w:val="23"/>
          <w:szCs w:val="23"/>
        </w:rPr>
      </w:pPr>
      <w:r w:rsidRPr="00F11A75">
        <w:rPr>
          <w:rFonts w:ascii="Garamond" w:hAnsi="Garamond"/>
          <w:color w:val="333333"/>
          <w:sz w:val="23"/>
          <w:szCs w:val="23"/>
        </w:rPr>
        <w:t xml:space="preserve">Qian, Yingyi. </w:t>
      </w:r>
      <w:r w:rsidRPr="00F11A75">
        <w:rPr>
          <w:rFonts w:ascii="Garamond" w:hAnsi="Garamond"/>
          <w:color w:val="333333"/>
          <w:sz w:val="23"/>
          <w:szCs w:val="23"/>
          <w:lang w:eastAsia="zh-CN"/>
        </w:rPr>
        <w:t xml:space="preserve">2000 </w:t>
      </w:r>
      <w:r w:rsidRPr="00F11A75">
        <w:rPr>
          <w:rFonts w:ascii="Garamond" w:hAnsi="Garamond"/>
          <w:color w:val="333333"/>
          <w:sz w:val="23"/>
          <w:szCs w:val="23"/>
        </w:rPr>
        <w:t>“</w:t>
      </w:r>
      <w:hyperlink r:id="rId9" w:history="1">
        <w:r w:rsidRPr="00F11A75">
          <w:rPr>
            <w:rFonts w:ascii="Garamond" w:hAnsi="Garamond"/>
            <w:sz w:val="23"/>
            <w:szCs w:val="23"/>
            <w:lang w:eastAsia="zh-CN"/>
          </w:rPr>
          <w:t>The process of China</w:t>
        </w:r>
        <w:r w:rsidR="00F451FE" w:rsidRPr="00F11A75">
          <w:rPr>
            <w:rFonts w:ascii="Garamond" w:hAnsi="Garamond"/>
            <w:sz w:val="23"/>
            <w:szCs w:val="23"/>
            <w:lang w:eastAsia="zh-CN"/>
          </w:rPr>
          <w:t>’</w:t>
        </w:r>
        <w:r w:rsidRPr="00F11A75">
          <w:rPr>
            <w:rFonts w:ascii="Garamond" w:hAnsi="Garamond"/>
            <w:sz w:val="23"/>
            <w:szCs w:val="23"/>
            <w:lang w:eastAsia="zh-CN"/>
          </w:rPr>
          <w:t>s market transition (1978-1998): The evolutionary, historical, and comparative perspectives</w:t>
        </w:r>
      </w:hyperlink>
      <w:r w:rsidRPr="00F11A75">
        <w:rPr>
          <w:rFonts w:ascii="Garamond" w:hAnsi="Garamond"/>
          <w:sz w:val="23"/>
          <w:szCs w:val="23"/>
          <w:lang w:eastAsia="zh-CN"/>
        </w:rPr>
        <w:t>,”</w:t>
      </w:r>
      <w:r w:rsidRPr="00F11A75">
        <w:rPr>
          <w:rFonts w:ascii="Garamond" w:hAnsi="Garamond"/>
          <w:i/>
          <w:sz w:val="23"/>
          <w:szCs w:val="23"/>
          <w:lang w:eastAsia="zh-CN"/>
        </w:rPr>
        <w:t xml:space="preserve"> </w:t>
      </w:r>
      <w:r w:rsidRPr="00F11A75">
        <w:rPr>
          <w:rFonts w:ascii="Garamond" w:hAnsi="Garamond"/>
          <w:i/>
          <w:sz w:val="23"/>
          <w:szCs w:val="23"/>
        </w:rPr>
        <w:t>Journal of Institutional and Theoretical Economics</w:t>
      </w:r>
      <w:r w:rsidRPr="00F11A75">
        <w:rPr>
          <w:rFonts w:ascii="Garamond" w:hAnsi="Garamond"/>
          <w:sz w:val="23"/>
          <w:szCs w:val="23"/>
        </w:rPr>
        <w:t>, 156(1), 151-171.</w:t>
      </w:r>
    </w:p>
    <w:p w14:paraId="2A997335" w14:textId="77777777" w:rsidR="00515759" w:rsidRPr="00F11A75" w:rsidRDefault="00515759" w:rsidP="000C6E7C">
      <w:pPr>
        <w:pStyle w:val="Outline1"/>
        <w:keepNext w:val="0"/>
        <w:numPr>
          <w:ilvl w:val="0"/>
          <w:numId w:val="0"/>
        </w:numPr>
        <w:spacing w:before="0" w:after="120"/>
        <w:ind w:left="720" w:right="144" w:hanging="720"/>
        <w:jc w:val="both"/>
        <w:rPr>
          <w:rFonts w:ascii="Garamond" w:hAnsi="Garamond"/>
          <w:i/>
          <w:sz w:val="23"/>
          <w:szCs w:val="23"/>
          <w:lang w:eastAsia="zh-CN"/>
        </w:rPr>
      </w:pPr>
      <w:r w:rsidRPr="00F11A75">
        <w:rPr>
          <w:rFonts w:ascii="Garamond" w:hAnsi="Garamond"/>
          <w:sz w:val="23"/>
          <w:szCs w:val="23"/>
        </w:rPr>
        <w:t xml:space="preserve">Qian, Yingyi, Gerard Roland, Chenggang Xu. 2006. “Coordination and experimentation in M-Form and U-Form Organizations,” </w:t>
      </w:r>
      <w:r w:rsidRPr="00F11A75">
        <w:rPr>
          <w:rFonts w:ascii="Garamond" w:hAnsi="Garamond"/>
          <w:i/>
          <w:sz w:val="23"/>
          <w:szCs w:val="23"/>
        </w:rPr>
        <w:t>Journal of Political Economy</w:t>
      </w:r>
      <w:r w:rsidRPr="00F11A75">
        <w:rPr>
          <w:rFonts w:ascii="Garamond" w:hAnsi="Garamond"/>
          <w:sz w:val="23"/>
          <w:szCs w:val="23"/>
        </w:rPr>
        <w:t xml:space="preserve"> 114(2)</w:t>
      </w:r>
      <w:r w:rsidRPr="00F11A75">
        <w:rPr>
          <w:rFonts w:ascii="Garamond" w:hAnsi="Garamond"/>
          <w:i/>
          <w:sz w:val="23"/>
          <w:szCs w:val="23"/>
        </w:rPr>
        <w:t xml:space="preserve">, </w:t>
      </w:r>
      <w:r w:rsidRPr="00F11A75">
        <w:rPr>
          <w:rFonts w:ascii="Garamond" w:hAnsi="Garamond"/>
          <w:sz w:val="23"/>
          <w:szCs w:val="23"/>
        </w:rPr>
        <w:t>366-402.</w:t>
      </w:r>
    </w:p>
    <w:p w14:paraId="5BE58FEB" w14:textId="3BACE531" w:rsidR="00515759" w:rsidRPr="00F11A75" w:rsidRDefault="00515759" w:rsidP="000C6E7C">
      <w:pPr>
        <w:pStyle w:val="Outline1"/>
        <w:keepNext w:val="0"/>
        <w:numPr>
          <w:ilvl w:val="0"/>
          <w:numId w:val="0"/>
        </w:numPr>
        <w:spacing w:before="0" w:after="120"/>
        <w:ind w:left="720" w:right="144" w:hanging="720"/>
        <w:jc w:val="both"/>
        <w:rPr>
          <w:rFonts w:ascii="Garamond" w:hAnsi="Garamond"/>
          <w:color w:val="000000"/>
          <w:sz w:val="23"/>
          <w:szCs w:val="23"/>
        </w:rPr>
      </w:pPr>
      <w:r w:rsidRPr="00F11A75">
        <w:rPr>
          <w:rFonts w:ascii="Garamond" w:hAnsi="Garamond"/>
          <w:color w:val="000000"/>
          <w:sz w:val="23"/>
          <w:szCs w:val="23"/>
        </w:rPr>
        <w:t xml:space="preserve">Qian, Yingyi, Gerard Roland, Chenggang Xu, 1993. </w:t>
      </w:r>
      <w:r w:rsidRPr="00F11A75">
        <w:rPr>
          <w:rFonts w:ascii="Garamond" w:hAnsi="Garamond"/>
          <w:color w:val="000000"/>
          <w:sz w:val="23"/>
          <w:szCs w:val="23"/>
          <w:lang w:eastAsia="zh-CN"/>
        </w:rPr>
        <w:t>“</w:t>
      </w:r>
      <w:r w:rsidRPr="00F11A75">
        <w:rPr>
          <w:rFonts w:ascii="Garamond" w:hAnsi="Garamond"/>
          <w:color w:val="000000"/>
          <w:sz w:val="23"/>
          <w:szCs w:val="23"/>
        </w:rPr>
        <w:t>Why China</w:t>
      </w:r>
      <w:r w:rsidR="00F451FE" w:rsidRPr="00F11A75">
        <w:rPr>
          <w:rFonts w:ascii="Garamond" w:hAnsi="Garamond"/>
          <w:color w:val="000000"/>
          <w:sz w:val="23"/>
          <w:szCs w:val="23"/>
        </w:rPr>
        <w:t>’</w:t>
      </w:r>
      <w:r w:rsidRPr="00F11A75">
        <w:rPr>
          <w:rFonts w:ascii="Garamond" w:hAnsi="Garamond"/>
          <w:color w:val="000000"/>
          <w:sz w:val="23"/>
          <w:szCs w:val="23"/>
        </w:rPr>
        <w:t>s Economic Reforms Differ:</w:t>
      </w:r>
      <w:r w:rsidRPr="00F11A75">
        <w:rPr>
          <w:rFonts w:ascii="Garamond" w:hAnsi="Garamond"/>
          <w:color w:val="000000"/>
          <w:sz w:val="23"/>
          <w:szCs w:val="23"/>
          <w:lang w:eastAsia="zh-CN"/>
        </w:rPr>
        <w:t xml:space="preserve"> </w:t>
      </w:r>
      <w:r w:rsidRPr="00F11A75">
        <w:rPr>
          <w:rFonts w:ascii="Garamond" w:hAnsi="Garamond"/>
          <w:color w:val="000000"/>
          <w:sz w:val="23"/>
          <w:szCs w:val="23"/>
        </w:rPr>
        <w:t>The M-Form Hierarchy and Entry/Expansion of the Non-State Sector,</w:t>
      </w:r>
      <w:r w:rsidRPr="00F11A75">
        <w:rPr>
          <w:rFonts w:ascii="Garamond" w:hAnsi="Garamond"/>
          <w:color w:val="000000"/>
          <w:sz w:val="23"/>
          <w:szCs w:val="23"/>
          <w:lang w:eastAsia="zh-CN"/>
        </w:rPr>
        <w:t>”</w:t>
      </w:r>
      <w:r w:rsidRPr="00F11A75">
        <w:rPr>
          <w:rFonts w:ascii="Garamond" w:hAnsi="Garamond"/>
          <w:color w:val="000000"/>
          <w:sz w:val="23"/>
          <w:szCs w:val="23"/>
        </w:rPr>
        <w:t xml:space="preserve"> </w:t>
      </w:r>
      <w:r w:rsidRPr="00F11A75">
        <w:rPr>
          <w:rFonts w:ascii="Garamond" w:hAnsi="Garamond"/>
          <w:i/>
          <w:color w:val="000000"/>
          <w:sz w:val="23"/>
          <w:szCs w:val="23"/>
        </w:rPr>
        <w:t>Economics of Transition</w:t>
      </w:r>
      <w:r w:rsidRPr="00F11A75">
        <w:rPr>
          <w:rFonts w:ascii="Garamond" w:hAnsi="Garamond"/>
          <w:color w:val="000000"/>
          <w:sz w:val="23"/>
          <w:szCs w:val="23"/>
        </w:rPr>
        <w:t>, 1(2)</w:t>
      </w:r>
      <w:r w:rsidR="002A1ECD">
        <w:rPr>
          <w:rFonts w:ascii="Garamond" w:hAnsi="Garamond" w:hint="eastAsia"/>
          <w:color w:val="000000"/>
          <w:sz w:val="23"/>
          <w:szCs w:val="23"/>
          <w:lang w:eastAsia="zh-CN"/>
        </w:rPr>
        <w:t xml:space="preserve">, </w:t>
      </w:r>
      <w:r w:rsidRPr="00F11A75">
        <w:rPr>
          <w:rFonts w:ascii="Garamond" w:hAnsi="Garamond"/>
          <w:color w:val="000000"/>
          <w:sz w:val="23"/>
          <w:szCs w:val="23"/>
        </w:rPr>
        <w:t>135-170.</w:t>
      </w:r>
    </w:p>
    <w:p w14:paraId="10CF1825" w14:textId="77777777" w:rsidR="00515759" w:rsidRPr="00F11A75" w:rsidRDefault="00515759" w:rsidP="000C6E7C">
      <w:pPr>
        <w:pStyle w:val="Outline1"/>
        <w:keepNext w:val="0"/>
        <w:numPr>
          <w:ilvl w:val="0"/>
          <w:numId w:val="0"/>
        </w:numPr>
        <w:spacing w:before="0" w:after="120"/>
        <w:ind w:left="720" w:right="144" w:hanging="720"/>
        <w:jc w:val="both"/>
        <w:rPr>
          <w:rFonts w:ascii="Garamond" w:hAnsi="Garamond"/>
          <w:color w:val="000000"/>
          <w:sz w:val="23"/>
          <w:szCs w:val="23"/>
          <w:lang w:eastAsia="zh-CN"/>
        </w:rPr>
      </w:pPr>
      <w:r w:rsidRPr="00F11A75">
        <w:rPr>
          <w:rFonts w:ascii="Garamond" w:hAnsi="Garamond"/>
          <w:color w:val="000000"/>
          <w:sz w:val="23"/>
          <w:szCs w:val="23"/>
          <w:lang w:eastAsia="zh-CN"/>
        </w:rPr>
        <w:t xml:space="preserve">Samuelson, Paul, 1973. </w:t>
      </w:r>
      <w:r w:rsidRPr="00F11A75">
        <w:rPr>
          <w:rFonts w:ascii="Garamond" w:hAnsi="Garamond"/>
          <w:i/>
          <w:color w:val="000000"/>
          <w:sz w:val="23"/>
          <w:szCs w:val="23"/>
          <w:lang w:eastAsia="zh-CN"/>
        </w:rPr>
        <w:t>Economics</w:t>
      </w:r>
      <w:r w:rsidRPr="00F11A75">
        <w:rPr>
          <w:rFonts w:ascii="Garamond" w:hAnsi="Garamond"/>
          <w:color w:val="000000"/>
          <w:sz w:val="23"/>
          <w:szCs w:val="23"/>
          <w:lang w:eastAsia="zh-CN"/>
        </w:rPr>
        <w:t xml:space="preserve"> 9</w:t>
      </w:r>
      <w:r w:rsidRPr="00F11A75">
        <w:rPr>
          <w:rFonts w:ascii="Garamond" w:hAnsi="Garamond"/>
          <w:color w:val="000000"/>
          <w:sz w:val="23"/>
          <w:szCs w:val="23"/>
          <w:vertAlign w:val="superscript"/>
          <w:lang w:eastAsia="zh-CN"/>
        </w:rPr>
        <w:t>th</w:t>
      </w:r>
      <w:r w:rsidRPr="00F11A75">
        <w:rPr>
          <w:rFonts w:ascii="Garamond" w:hAnsi="Garamond"/>
          <w:color w:val="000000"/>
          <w:sz w:val="23"/>
          <w:szCs w:val="23"/>
          <w:lang w:eastAsia="zh-CN"/>
        </w:rPr>
        <w:t xml:space="preserve"> Edition, </w:t>
      </w:r>
      <w:r w:rsidRPr="00F11A75">
        <w:rPr>
          <w:rFonts w:ascii="Garamond" w:hAnsi="Garamond"/>
          <w:color w:val="000000"/>
          <w:sz w:val="23"/>
          <w:szCs w:val="23"/>
        </w:rPr>
        <w:t>McGraw Hill</w:t>
      </w:r>
      <w:r w:rsidRPr="00F11A75">
        <w:rPr>
          <w:rFonts w:ascii="Garamond" w:hAnsi="Garamond"/>
          <w:color w:val="000000"/>
          <w:sz w:val="23"/>
          <w:szCs w:val="23"/>
          <w:lang w:eastAsia="zh-CN"/>
        </w:rPr>
        <w:t>.</w:t>
      </w:r>
    </w:p>
    <w:p w14:paraId="73DDFAE3" w14:textId="77777777" w:rsidR="00515759" w:rsidRPr="00F11A75" w:rsidRDefault="00515759" w:rsidP="000C6E7C">
      <w:pPr>
        <w:pStyle w:val="Outline1"/>
        <w:keepNext w:val="0"/>
        <w:numPr>
          <w:ilvl w:val="0"/>
          <w:numId w:val="0"/>
        </w:numPr>
        <w:spacing w:before="0" w:after="120"/>
        <w:ind w:left="720" w:right="144" w:hanging="720"/>
        <w:jc w:val="both"/>
        <w:rPr>
          <w:rFonts w:ascii="Garamond" w:eastAsia="FZShuTi" w:hAnsi="Garamond"/>
          <w:sz w:val="23"/>
          <w:szCs w:val="23"/>
        </w:rPr>
      </w:pPr>
      <w:r w:rsidRPr="00F11A75">
        <w:rPr>
          <w:rFonts w:ascii="Garamond" w:eastAsia="FZShuTi" w:hAnsi="Garamond"/>
          <w:sz w:val="23"/>
          <w:szCs w:val="23"/>
        </w:rPr>
        <w:t>Shleifer, A., and R. W. Vishny, R. W., 1994. “Politicians and firms.”</w:t>
      </w:r>
      <w:r w:rsidRPr="00F11A75">
        <w:rPr>
          <w:rFonts w:ascii="Garamond" w:eastAsia="FZShuTi" w:hAnsi="Garamond"/>
          <w:i/>
          <w:sz w:val="23"/>
          <w:szCs w:val="23"/>
        </w:rPr>
        <w:t xml:space="preserve"> Quarterly Journal of Economics</w:t>
      </w:r>
      <w:r w:rsidRPr="00F11A75">
        <w:rPr>
          <w:rFonts w:ascii="Garamond" w:eastAsia="FZShuTi" w:hAnsi="Garamond"/>
          <w:sz w:val="23"/>
          <w:szCs w:val="23"/>
        </w:rPr>
        <w:t xml:space="preserve"> 109 (4), 995–1025.</w:t>
      </w:r>
    </w:p>
    <w:p w14:paraId="25EEC031" w14:textId="77777777" w:rsidR="00515759" w:rsidRPr="00F11A75" w:rsidRDefault="00515759" w:rsidP="000C6E7C">
      <w:pPr>
        <w:pStyle w:val="Outline1"/>
        <w:keepNext w:val="0"/>
        <w:numPr>
          <w:ilvl w:val="0"/>
          <w:numId w:val="0"/>
        </w:numPr>
        <w:spacing w:before="0" w:after="120"/>
        <w:ind w:left="720" w:right="144" w:hanging="720"/>
        <w:jc w:val="both"/>
        <w:rPr>
          <w:rFonts w:ascii="Garamond" w:hAnsi="Garamond"/>
          <w:sz w:val="23"/>
          <w:szCs w:val="23"/>
        </w:rPr>
      </w:pPr>
      <w:r w:rsidRPr="00F11A75">
        <w:rPr>
          <w:rFonts w:ascii="Garamond" w:hAnsi="Garamond"/>
          <w:sz w:val="23"/>
          <w:szCs w:val="23"/>
        </w:rPr>
        <w:t xml:space="preserve">Wong, Christine, and </w:t>
      </w:r>
      <w:r w:rsidRPr="00F11A75">
        <w:rPr>
          <w:rFonts w:ascii="Garamond" w:eastAsia="FZShuTi" w:hAnsi="Garamond"/>
          <w:sz w:val="23"/>
          <w:szCs w:val="23"/>
        </w:rPr>
        <w:t>Richard</w:t>
      </w:r>
      <w:r w:rsidRPr="00F11A75">
        <w:rPr>
          <w:rFonts w:ascii="Garamond" w:hAnsi="Garamond"/>
          <w:sz w:val="23"/>
          <w:szCs w:val="23"/>
        </w:rPr>
        <w:t xml:space="preserve"> Bird. 2008. “China’s Fiscal System: A work in progress,” </w:t>
      </w:r>
      <w:r w:rsidRPr="00F11A75">
        <w:rPr>
          <w:rFonts w:ascii="Garamond" w:hAnsi="Garamond"/>
          <w:i/>
          <w:sz w:val="23"/>
          <w:szCs w:val="23"/>
        </w:rPr>
        <w:t xml:space="preserve">In </w:t>
      </w:r>
      <w:r w:rsidRPr="00F11A75">
        <w:rPr>
          <w:rFonts w:ascii="Garamond" w:hAnsi="Garamond"/>
          <w:sz w:val="23"/>
          <w:szCs w:val="23"/>
        </w:rPr>
        <w:t>China’s Great Economic Transformation, Brandt and Rawski edited. Cambridge University Press.</w:t>
      </w:r>
    </w:p>
    <w:p w14:paraId="534FD6AA" w14:textId="492ADAED" w:rsidR="00515759" w:rsidRPr="00F11A75" w:rsidRDefault="00515759" w:rsidP="000C6E7C">
      <w:pPr>
        <w:pStyle w:val="Outline1"/>
        <w:keepNext w:val="0"/>
        <w:numPr>
          <w:ilvl w:val="0"/>
          <w:numId w:val="0"/>
        </w:numPr>
        <w:spacing w:before="0" w:after="120"/>
        <w:ind w:left="720" w:right="144" w:hanging="720"/>
        <w:jc w:val="both"/>
        <w:rPr>
          <w:rFonts w:ascii="Garamond" w:hAnsi="Garamond"/>
          <w:sz w:val="23"/>
          <w:szCs w:val="23"/>
        </w:rPr>
      </w:pPr>
      <w:r w:rsidRPr="00F11A75">
        <w:rPr>
          <w:rFonts w:ascii="Garamond" w:hAnsi="Garamond"/>
          <w:sz w:val="23"/>
          <w:szCs w:val="23"/>
        </w:rPr>
        <w:t xml:space="preserve">World Bank. 2013. </w:t>
      </w:r>
      <w:r w:rsidRPr="00BA4AC2">
        <w:rPr>
          <w:rFonts w:ascii="Garamond" w:hAnsi="Garamond"/>
          <w:i/>
          <w:sz w:val="23"/>
          <w:szCs w:val="23"/>
        </w:rPr>
        <w:t>China 2030: Building a modern, harmonious, and creative society</w:t>
      </w:r>
      <w:r w:rsidRPr="00F11A75">
        <w:rPr>
          <w:rFonts w:ascii="Garamond" w:hAnsi="Garamond"/>
          <w:sz w:val="23"/>
          <w:szCs w:val="23"/>
        </w:rPr>
        <w:t>.</w:t>
      </w:r>
      <w:r w:rsidRPr="00F11A75">
        <w:rPr>
          <w:rFonts w:ascii="Garamond" w:hAnsi="Garamond"/>
          <w:i/>
          <w:sz w:val="23"/>
          <w:szCs w:val="23"/>
        </w:rPr>
        <w:t xml:space="preserve"> </w:t>
      </w:r>
      <w:r w:rsidRPr="00F11A75">
        <w:rPr>
          <w:rFonts w:ascii="Garamond" w:hAnsi="Garamond"/>
          <w:sz w:val="23"/>
          <w:szCs w:val="23"/>
        </w:rPr>
        <w:t xml:space="preserve"> </w:t>
      </w:r>
    </w:p>
    <w:p w14:paraId="38EB20CF" w14:textId="77777777" w:rsidR="00515759" w:rsidRPr="00F11A75" w:rsidRDefault="00515759" w:rsidP="000C6E7C">
      <w:pPr>
        <w:pStyle w:val="Outline1"/>
        <w:keepNext w:val="0"/>
        <w:numPr>
          <w:ilvl w:val="0"/>
          <w:numId w:val="0"/>
        </w:numPr>
        <w:spacing w:before="0" w:after="120"/>
        <w:ind w:left="720" w:right="144" w:hanging="720"/>
        <w:jc w:val="both"/>
        <w:rPr>
          <w:rFonts w:ascii="Garamond" w:hAnsi="Garamond"/>
          <w:sz w:val="23"/>
          <w:szCs w:val="23"/>
        </w:rPr>
      </w:pPr>
      <w:r w:rsidRPr="00F11A75">
        <w:rPr>
          <w:rFonts w:ascii="Garamond" w:hAnsi="Garamond"/>
          <w:sz w:val="23"/>
          <w:szCs w:val="23"/>
          <w:lang w:eastAsia="zh-CN"/>
        </w:rPr>
        <w:t xml:space="preserve">Xu, Lixin Colin. 1998. </w:t>
      </w:r>
      <w:r w:rsidRPr="00F11A75">
        <w:rPr>
          <w:rFonts w:ascii="Garamond" w:hAnsi="Garamond"/>
          <w:sz w:val="23"/>
          <w:szCs w:val="23"/>
        </w:rPr>
        <w:t xml:space="preserve">“Determinants of the Re-Partitioning of Property Rights Between the Government and State Enterprises,” </w:t>
      </w:r>
      <w:r w:rsidRPr="00F11A75">
        <w:rPr>
          <w:rFonts w:ascii="Garamond" w:hAnsi="Garamond"/>
          <w:i/>
          <w:sz w:val="23"/>
          <w:szCs w:val="23"/>
        </w:rPr>
        <w:t>Economic Development and Cultural Change</w:t>
      </w:r>
      <w:r w:rsidRPr="00F11A75">
        <w:rPr>
          <w:rFonts w:ascii="Garamond" w:hAnsi="Garamond"/>
          <w:sz w:val="23"/>
          <w:szCs w:val="23"/>
        </w:rPr>
        <w:t>, 46(3), 537-560.</w:t>
      </w:r>
    </w:p>
    <w:p w14:paraId="2F567201" w14:textId="65535560" w:rsidR="00515759" w:rsidRPr="00F11A75" w:rsidRDefault="00515759" w:rsidP="000C6E7C">
      <w:pPr>
        <w:pStyle w:val="Outline1"/>
        <w:keepNext w:val="0"/>
        <w:numPr>
          <w:ilvl w:val="0"/>
          <w:numId w:val="0"/>
        </w:numPr>
        <w:spacing w:before="0" w:after="120"/>
        <w:ind w:left="720" w:right="144" w:hanging="720"/>
        <w:jc w:val="both"/>
        <w:rPr>
          <w:rFonts w:ascii="Garamond" w:hAnsi="Garamond"/>
          <w:sz w:val="23"/>
          <w:szCs w:val="23"/>
        </w:rPr>
      </w:pPr>
      <w:r w:rsidRPr="00F11A75">
        <w:rPr>
          <w:rFonts w:ascii="Garamond" w:hAnsi="Garamond"/>
          <w:sz w:val="23"/>
          <w:szCs w:val="23"/>
        </w:rPr>
        <w:t>Xu, Lixin Colin</w:t>
      </w:r>
      <w:r w:rsidRPr="00F11A75">
        <w:rPr>
          <w:rFonts w:ascii="Garamond" w:hAnsi="Garamond"/>
          <w:sz w:val="23"/>
          <w:szCs w:val="23"/>
          <w:lang w:eastAsia="zh-CN"/>
        </w:rPr>
        <w:t xml:space="preserve">, Tian Zhu, Yi-Min Lin. 2005. </w:t>
      </w:r>
      <w:r w:rsidRPr="00F11A75">
        <w:rPr>
          <w:rFonts w:ascii="Garamond" w:hAnsi="Garamond"/>
          <w:sz w:val="23"/>
          <w:szCs w:val="23"/>
        </w:rPr>
        <w:t>“</w:t>
      </w:r>
      <w:hyperlink r:id="rId10" w:tgtFrame="_top" w:history="1">
        <w:r w:rsidRPr="00F11A75">
          <w:rPr>
            <w:rStyle w:val="Hyperlink"/>
            <w:rFonts w:ascii="Garamond" w:hAnsi="Garamond"/>
            <w:color w:val="auto"/>
            <w:sz w:val="23"/>
            <w:szCs w:val="23"/>
            <w:u w:val="none"/>
          </w:rPr>
          <w:t>Politician Control, Agency Problems, and Ownership Reform: Evidence from China</w:t>
        </w:r>
      </w:hyperlink>
      <w:r w:rsidR="008D5801" w:rsidRPr="00F11A75">
        <w:rPr>
          <w:rStyle w:val="Hyperlink"/>
          <w:rFonts w:ascii="Garamond" w:hAnsi="Garamond"/>
          <w:color w:val="auto"/>
          <w:sz w:val="23"/>
          <w:szCs w:val="23"/>
          <w:u w:val="none"/>
          <w:lang w:eastAsia="zh-CN"/>
        </w:rPr>
        <w:t>,</w:t>
      </w:r>
      <w:r w:rsidRPr="00F11A75">
        <w:rPr>
          <w:rFonts w:ascii="Garamond" w:hAnsi="Garamond"/>
          <w:sz w:val="23"/>
          <w:szCs w:val="23"/>
        </w:rPr>
        <w:t xml:space="preserve">” </w:t>
      </w:r>
      <w:r w:rsidRPr="00F11A75">
        <w:rPr>
          <w:rFonts w:ascii="Garamond" w:hAnsi="Garamond"/>
          <w:i/>
          <w:sz w:val="23"/>
          <w:szCs w:val="23"/>
        </w:rPr>
        <w:t>Economics of Transition</w:t>
      </w:r>
      <w:r w:rsidRPr="00F11A75">
        <w:rPr>
          <w:rFonts w:ascii="Garamond" w:hAnsi="Garamond"/>
          <w:sz w:val="23"/>
          <w:szCs w:val="23"/>
        </w:rPr>
        <w:t xml:space="preserve"> 13(1), 1-24.  </w:t>
      </w:r>
    </w:p>
    <w:p w14:paraId="320CBFEC" w14:textId="77777777" w:rsidR="00A97652" w:rsidRPr="00EE7169" w:rsidRDefault="00A97652">
      <w:pPr>
        <w:widowControl/>
        <w:jc w:val="left"/>
        <w:rPr>
          <w:rFonts w:ascii="Garamond" w:hAnsi="Garamond"/>
          <w:b/>
          <w:sz w:val="24"/>
          <w:szCs w:val="24"/>
        </w:rPr>
      </w:pPr>
    </w:p>
    <w:p w14:paraId="457D0384" w14:textId="77777777" w:rsidR="00A15AF5" w:rsidRPr="00EE7169" w:rsidRDefault="00A15AF5" w:rsidP="00982369">
      <w:pPr>
        <w:spacing w:line="360" w:lineRule="auto"/>
        <w:ind w:firstLineChars="200" w:firstLine="482"/>
        <w:jc w:val="center"/>
        <w:rPr>
          <w:rFonts w:ascii="Garamond" w:hAnsi="Garamond"/>
          <w:b/>
          <w:sz w:val="24"/>
          <w:szCs w:val="24"/>
        </w:rPr>
      </w:pPr>
      <w:r w:rsidRPr="00EE7169">
        <w:rPr>
          <w:rFonts w:ascii="Garamond" w:hAnsi="Garamond"/>
          <w:b/>
          <w:sz w:val="24"/>
          <w:szCs w:val="24"/>
        </w:rPr>
        <w:t>Figure 1</w:t>
      </w:r>
      <w:r w:rsidR="000F6798" w:rsidRPr="00EE7169">
        <w:rPr>
          <w:rFonts w:ascii="Garamond" w:hAnsi="Garamond"/>
          <w:b/>
          <w:sz w:val="24"/>
          <w:szCs w:val="24"/>
        </w:rPr>
        <w:t xml:space="preserve">. </w:t>
      </w:r>
      <w:r w:rsidRPr="00EE7169">
        <w:rPr>
          <w:rFonts w:ascii="Garamond" w:hAnsi="Garamond"/>
          <w:b/>
          <w:sz w:val="24"/>
          <w:szCs w:val="24"/>
        </w:rPr>
        <w:t xml:space="preserve">Hierarchy of </w:t>
      </w:r>
      <w:r w:rsidR="004A1B0C" w:rsidRPr="00EE7169">
        <w:rPr>
          <w:rFonts w:ascii="Garamond" w:hAnsi="Garamond"/>
          <w:b/>
          <w:sz w:val="24"/>
          <w:szCs w:val="24"/>
        </w:rPr>
        <w:t>China’s SOEs A</w:t>
      </w:r>
      <w:r w:rsidRPr="00EE7169">
        <w:rPr>
          <w:rFonts w:ascii="Garamond" w:hAnsi="Garamond"/>
          <w:b/>
          <w:sz w:val="24"/>
          <w:szCs w:val="24"/>
        </w:rPr>
        <w:t>ffiliation</w:t>
      </w:r>
    </w:p>
    <w:p w14:paraId="67FCA9A8" w14:textId="05BCB159" w:rsidR="008E71E6" w:rsidRPr="00EE7169" w:rsidRDefault="00CE50D5" w:rsidP="008E71E6">
      <w:pPr>
        <w:spacing w:line="360" w:lineRule="auto"/>
        <w:ind w:firstLineChars="200" w:firstLine="480"/>
        <w:jc w:val="center"/>
        <w:rPr>
          <w:rFonts w:ascii="Garamond" w:hAnsi="Garamond"/>
          <w:sz w:val="24"/>
          <w:szCs w:val="24"/>
        </w:rPr>
      </w:pPr>
      <w:r w:rsidRPr="00EE7169">
        <w:rPr>
          <w:rFonts w:ascii="Garamond" w:hAnsi="Garamond"/>
          <w:noProof/>
          <w:sz w:val="24"/>
          <w:szCs w:val="24"/>
        </w:rPr>
        <w:drawing>
          <wp:inline distT="0" distB="0" distL="0" distR="0" wp14:anchorId="63DE1FEA" wp14:editId="5B7B30B1">
            <wp:extent cx="5049671" cy="27090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313" cy="2707815"/>
                    </a:xfrm>
                    <a:prstGeom prst="rect">
                      <a:avLst/>
                    </a:prstGeom>
                    <a:noFill/>
                  </pic:spPr>
                </pic:pic>
              </a:graphicData>
            </a:graphic>
          </wp:inline>
        </w:drawing>
      </w:r>
    </w:p>
    <w:p w14:paraId="63056F8A" w14:textId="77777777" w:rsidR="007D69AB" w:rsidRPr="00EE7169" w:rsidRDefault="00315E70" w:rsidP="008D5801">
      <w:pPr>
        <w:widowControl/>
        <w:jc w:val="left"/>
        <w:rPr>
          <w:rFonts w:ascii="Garamond" w:hAnsi="Garamond"/>
          <w:kern w:val="0"/>
          <w:sz w:val="22"/>
          <w:szCs w:val="21"/>
        </w:rPr>
      </w:pPr>
      <w:r w:rsidRPr="00EE7169">
        <w:rPr>
          <w:rFonts w:ascii="Garamond" w:hAnsi="Garamond"/>
          <w:kern w:val="0"/>
          <w:sz w:val="22"/>
          <w:szCs w:val="21"/>
        </w:rPr>
        <w:t xml:space="preserve">Note: This figure </w:t>
      </w:r>
      <w:r w:rsidR="007D69AB" w:rsidRPr="00EE7169">
        <w:rPr>
          <w:rFonts w:ascii="Garamond" w:hAnsi="Garamond"/>
          <w:kern w:val="0"/>
          <w:sz w:val="22"/>
          <w:szCs w:val="21"/>
        </w:rPr>
        <w:t xml:space="preserve">shows </w:t>
      </w:r>
      <w:r w:rsidR="001204BE" w:rsidRPr="00EE7169">
        <w:rPr>
          <w:rFonts w:ascii="Garamond" w:hAnsi="Garamond"/>
          <w:kern w:val="0"/>
          <w:sz w:val="22"/>
          <w:szCs w:val="21"/>
        </w:rPr>
        <w:t xml:space="preserve">the </w:t>
      </w:r>
      <w:r w:rsidR="007D69AB" w:rsidRPr="00EE7169">
        <w:rPr>
          <w:rFonts w:ascii="Garamond" w:hAnsi="Garamond"/>
          <w:kern w:val="0"/>
          <w:sz w:val="22"/>
          <w:szCs w:val="21"/>
        </w:rPr>
        <w:t xml:space="preserve">distribution of SOE affiliations in terms of </w:t>
      </w:r>
      <w:r w:rsidR="001204BE" w:rsidRPr="00EE7169">
        <w:rPr>
          <w:rFonts w:ascii="Garamond" w:hAnsi="Garamond"/>
          <w:kern w:val="0"/>
          <w:sz w:val="22"/>
          <w:szCs w:val="21"/>
        </w:rPr>
        <w:t>number of firms, employment and output.</w:t>
      </w:r>
    </w:p>
    <w:p w14:paraId="6294F558" w14:textId="77777777" w:rsidR="00A15AF5" w:rsidRPr="00EE7169" w:rsidRDefault="007D69AB" w:rsidP="008D5801">
      <w:pPr>
        <w:widowControl/>
        <w:jc w:val="left"/>
        <w:rPr>
          <w:rFonts w:ascii="Garamond" w:hAnsi="Garamond"/>
          <w:kern w:val="0"/>
          <w:sz w:val="22"/>
          <w:szCs w:val="21"/>
        </w:rPr>
      </w:pPr>
      <w:r w:rsidRPr="00EE7169">
        <w:rPr>
          <w:rFonts w:ascii="Garamond" w:hAnsi="Garamond"/>
          <w:kern w:val="0"/>
          <w:sz w:val="22"/>
          <w:szCs w:val="21"/>
        </w:rPr>
        <w:t>Source:</w:t>
      </w:r>
      <w:r w:rsidR="001204BE" w:rsidRPr="00EE7169">
        <w:rPr>
          <w:rFonts w:ascii="Garamond" w:hAnsi="Garamond"/>
          <w:kern w:val="0"/>
          <w:sz w:val="22"/>
          <w:szCs w:val="21"/>
        </w:rPr>
        <w:t xml:space="preserve"> </w:t>
      </w:r>
      <w:r w:rsidRPr="00EE7169">
        <w:rPr>
          <w:rFonts w:ascii="Garamond" w:hAnsi="Garamond"/>
          <w:kern w:val="0"/>
          <w:sz w:val="22"/>
          <w:szCs w:val="21"/>
        </w:rPr>
        <w:t xml:space="preserve">Author’s calculation </w:t>
      </w:r>
      <w:r w:rsidR="001204BE" w:rsidRPr="00EE7169">
        <w:rPr>
          <w:rFonts w:ascii="Garamond" w:hAnsi="Garamond"/>
          <w:kern w:val="0"/>
          <w:sz w:val="22"/>
          <w:szCs w:val="21"/>
        </w:rPr>
        <w:t>from C</w:t>
      </w:r>
      <w:r w:rsidR="00A15AF5" w:rsidRPr="00EE7169">
        <w:rPr>
          <w:rFonts w:ascii="Garamond" w:hAnsi="Garamond"/>
          <w:kern w:val="0"/>
          <w:sz w:val="22"/>
          <w:szCs w:val="21"/>
        </w:rPr>
        <w:t xml:space="preserve">hina Industrial Firm </w:t>
      </w:r>
      <w:r w:rsidR="00976471" w:rsidRPr="00EE7169">
        <w:rPr>
          <w:rFonts w:ascii="Garamond" w:hAnsi="Garamond"/>
          <w:kern w:val="0"/>
          <w:sz w:val="22"/>
          <w:szCs w:val="21"/>
        </w:rPr>
        <w:t>Database</w:t>
      </w:r>
      <w:r w:rsidR="00A15AF5" w:rsidRPr="00EE7169">
        <w:rPr>
          <w:rFonts w:ascii="Garamond" w:hAnsi="Garamond"/>
          <w:kern w:val="0"/>
          <w:sz w:val="22"/>
          <w:szCs w:val="21"/>
        </w:rPr>
        <w:t>, 1998.</w:t>
      </w:r>
    </w:p>
    <w:p w14:paraId="0795269C" w14:textId="77777777" w:rsidR="000630A0" w:rsidRPr="00EE7169" w:rsidRDefault="000630A0" w:rsidP="008E71E6">
      <w:pPr>
        <w:ind w:firstLineChars="200" w:firstLine="562"/>
        <w:jc w:val="center"/>
        <w:rPr>
          <w:rFonts w:ascii="Garamond" w:hAnsi="Garamond"/>
          <w:b/>
          <w:bCs/>
          <w:sz w:val="28"/>
          <w:szCs w:val="21"/>
        </w:rPr>
      </w:pPr>
    </w:p>
    <w:p w14:paraId="7FF6E8E3" w14:textId="77777777" w:rsidR="00D60627" w:rsidRPr="00EE7169" w:rsidRDefault="00D60627" w:rsidP="008E71E6">
      <w:pPr>
        <w:ind w:firstLineChars="200" w:firstLine="562"/>
        <w:jc w:val="center"/>
        <w:rPr>
          <w:rFonts w:ascii="Garamond" w:hAnsi="Garamond"/>
          <w:b/>
          <w:bCs/>
          <w:sz w:val="28"/>
          <w:szCs w:val="21"/>
        </w:rPr>
      </w:pPr>
    </w:p>
    <w:p w14:paraId="3E5151D6" w14:textId="77777777" w:rsidR="000630A0" w:rsidRPr="00EE7169" w:rsidRDefault="000630A0" w:rsidP="00CB7695">
      <w:pPr>
        <w:ind w:firstLineChars="200" w:firstLine="562"/>
        <w:jc w:val="center"/>
        <w:rPr>
          <w:rFonts w:ascii="Garamond" w:hAnsi="Garamond"/>
          <w:b/>
          <w:bCs/>
          <w:sz w:val="28"/>
          <w:szCs w:val="21"/>
        </w:rPr>
      </w:pPr>
    </w:p>
    <w:p w14:paraId="1AD06185" w14:textId="77777777" w:rsidR="006677D1" w:rsidRDefault="006677D1">
      <w:pPr>
        <w:widowControl/>
        <w:jc w:val="left"/>
        <w:rPr>
          <w:rFonts w:ascii="Garamond" w:hAnsi="Garamond"/>
          <w:b/>
          <w:sz w:val="24"/>
          <w:szCs w:val="24"/>
        </w:rPr>
      </w:pPr>
      <w:r>
        <w:rPr>
          <w:rFonts w:ascii="Garamond" w:hAnsi="Garamond"/>
          <w:b/>
          <w:sz w:val="24"/>
          <w:szCs w:val="24"/>
        </w:rPr>
        <w:br w:type="page"/>
      </w:r>
    </w:p>
    <w:p w14:paraId="50BD64DE" w14:textId="6284C6ED" w:rsidR="00CB7695" w:rsidRPr="00EE7169" w:rsidRDefault="00CB7695" w:rsidP="000F6798">
      <w:pPr>
        <w:spacing w:line="360" w:lineRule="auto"/>
        <w:ind w:firstLineChars="200" w:firstLine="482"/>
        <w:jc w:val="center"/>
        <w:rPr>
          <w:rFonts w:ascii="Garamond" w:hAnsi="Garamond"/>
          <w:b/>
          <w:sz w:val="24"/>
          <w:szCs w:val="24"/>
        </w:rPr>
      </w:pPr>
      <w:r w:rsidRPr="00EE7169">
        <w:rPr>
          <w:rFonts w:ascii="Garamond" w:hAnsi="Garamond"/>
          <w:b/>
          <w:sz w:val="24"/>
          <w:szCs w:val="24"/>
        </w:rPr>
        <w:lastRenderedPageBreak/>
        <w:t>Figure 2</w:t>
      </w:r>
      <w:r w:rsidR="000F6798" w:rsidRPr="00EE7169">
        <w:rPr>
          <w:rFonts w:ascii="Garamond" w:hAnsi="Garamond"/>
          <w:b/>
          <w:sz w:val="24"/>
          <w:szCs w:val="24"/>
        </w:rPr>
        <w:t>.</w:t>
      </w:r>
      <w:r w:rsidRPr="00EE7169">
        <w:rPr>
          <w:rFonts w:ascii="Garamond" w:hAnsi="Garamond"/>
          <w:b/>
          <w:sz w:val="24"/>
          <w:szCs w:val="24"/>
        </w:rPr>
        <w:t xml:space="preserve"> </w:t>
      </w:r>
      <w:r w:rsidR="00F60EC2" w:rsidRPr="00EE7169">
        <w:rPr>
          <w:rFonts w:ascii="Garamond" w:hAnsi="Garamond"/>
          <w:b/>
          <w:sz w:val="24"/>
          <w:szCs w:val="24"/>
        </w:rPr>
        <w:t>A</w:t>
      </w:r>
      <w:r w:rsidRPr="00EE7169">
        <w:rPr>
          <w:rFonts w:ascii="Garamond" w:hAnsi="Garamond"/>
          <w:b/>
          <w:sz w:val="24"/>
          <w:szCs w:val="24"/>
        </w:rPr>
        <w:t>ffiliation</w:t>
      </w:r>
      <w:r w:rsidR="00F60EC2" w:rsidRPr="00EE7169">
        <w:rPr>
          <w:rFonts w:ascii="Garamond" w:hAnsi="Garamond"/>
          <w:b/>
          <w:sz w:val="24"/>
          <w:szCs w:val="24"/>
        </w:rPr>
        <w:t xml:space="preserve"> of SOEs</w:t>
      </w:r>
      <w:r w:rsidRPr="00EE7169">
        <w:rPr>
          <w:rFonts w:ascii="Garamond" w:hAnsi="Garamond"/>
          <w:b/>
          <w:sz w:val="24"/>
          <w:szCs w:val="24"/>
        </w:rPr>
        <w:t xml:space="preserve"> in the </w:t>
      </w:r>
      <w:r w:rsidR="00F60EC2" w:rsidRPr="00EE7169">
        <w:rPr>
          <w:rFonts w:ascii="Garamond" w:hAnsi="Garamond"/>
          <w:b/>
          <w:sz w:val="24"/>
          <w:szCs w:val="24"/>
        </w:rPr>
        <w:t>Sample B</w:t>
      </w:r>
      <w:r w:rsidRPr="00EE7169">
        <w:rPr>
          <w:rFonts w:ascii="Garamond" w:hAnsi="Garamond"/>
          <w:b/>
          <w:sz w:val="24"/>
          <w:szCs w:val="24"/>
        </w:rPr>
        <w:t xml:space="preserve">eginning </w:t>
      </w:r>
      <w:r w:rsidR="00F60EC2" w:rsidRPr="00EE7169">
        <w:rPr>
          <w:rFonts w:ascii="Garamond" w:hAnsi="Garamond"/>
          <w:b/>
          <w:sz w:val="24"/>
          <w:szCs w:val="24"/>
        </w:rPr>
        <w:t>Y</w:t>
      </w:r>
      <w:r w:rsidRPr="00EE7169">
        <w:rPr>
          <w:rFonts w:ascii="Garamond" w:hAnsi="Garamond"/>
          <w:b/>
          <w:sz w:val="24"/>
          <w:szCs w:val="24"/>
        </w:rPr>
        <w:t>ear</w:t>
      </w:r>
    </w:p>
    <w:p w14:paraId="0CD38898" w14:textId="77777777" w:rsidR="00A15AF5" w:rsidRPr="00EE7169" w:rsidRDefault="00920645" w:rsidP="00E304CA">
      <w:pPr>
        <w:ind w:firstLineChars="200" w:firstLine="422"/>
        <w:jc w:val="center"/>
        <w:rPr>
          <w:rFonts w:ascii="Garamond" w:hAnsi="Garamond"/>
          <w:b/>
          <w:szCs w:val="21"/>
        </w:rPr>
      </w:pPr>
      <w:r w:rsidRPr="00EE7169">
        <w:rPr>
          <w:rFonts w:ascii="Garamond" w:hAnsi="Garamond"/>
          <w:b/>
          <w:noProof/>
          <w:szCs w:val="21"/>
        </w:rPr>
        <w:drawing>
          <wp:inline distT="0" distB="0" distL="0" distR="0" wp14:anchorId="7041494D" wp14:editId="13A6067C">
            <wp:extent cx="4431030" cy="269748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1030" cy="2697480"/>
                    </a:xfrm>
                    <a:prstGeom prst="rect">
                      <a:avLst/>
                    </a:prstGeom>
                    <a:noFill/>
                  </pic:spPr>
                </pic:pic>
              </a:graphicData>
            </a:graphic>
          </wp:inline>
        </w:drawing>
      </w:r>
    </w:p>
    <w:p w14:paraId="2A2BF0EF" w14:textId="77777777" w:rsidR="00191DEA" w:rsidRPr="00EE7169" w:rsidRDefault="00315E70">
      <w:pPr>
        <w:widowControl/>
        <w:jc w:val="left"/>
        <w:rPr>
          <w:rFonts w:ascii="Garamond" w:hAnsi="Garamond"/>
          <w:b/>
          <w:kern w:val="0"/>
          <w:sz w:val="28"/>
          <w:szCs w:val="21"/>
        </w:rPr>
      </w:pPr>
      <w:r w:rsidRPr="00EE7169">
        <w:rPr>
          <w:rFonts w:ascii="Garamond" w:hAnsi="Garamond"/>
          <w:kern w:val="0"/>
          <w:sz w:val="22"/>
          <w:szCs w:val="21"/>
        </w:rPr>
        <w:t xml:space="preserve">Note: This figure </w:t>
      </w:r>
      <w:r w:rsidR="007D69AB" w:rsidRPr="00EE7169">
        <w:rPr>
          <w:rFonts w:ascii="Garamond" w:hAnsi="Garamond"/>
          <w:kern w:val="0"/>
          <w:sz w:val="22"/>
          <w:szCs w:val="21"/>
        </w:rPr>
        <w:t>show</w:t>
      </w:r>
      <w:r w:rsidRPr="00EE7169">
        <w:rPr>
          <w:rFonts w:ascii="Garamond" w:hAnsi="Garamond"/>
          <w:kern w:val="0"/>
          <w:sz w:val="22"/>
          <w:szCs w:val="21"/>
        </w:rPr>
        <w:t xml:space="preserve">s the </w:t>
      </w:r>
      <w:r w:rsidR="007D69AB" w:rsidRPr="00EE7169">
        <w:rPr>
          <w:rFonts w:ascii="Garamond" w:hAnsi="Garamond"/>
          <w:kern w:val="0"/>
          <w:sz w:val="22"/>
          <w:szCs w:val="21"/>
        </w:rPr>
        <w:t xml:space="preserve">proportion of SOEs </w:t>
      </w:r>
      <w:r w:rsidRPr="00EE7169">
        <w:rPr>
          <w:rFonts w:ascii="Garamond" w:hAnsi="Garamond"/>
          <w:kern w:val="0"/>
          <w:sz w:val="22"/>
          <w:szCs w:val="21"/>
        </w:rPr>
        <w:t>affiliat</w:t>
      </w:r>
      <w:r w:rsidR="007D69AB" w:rsidRPr="00EE7169">
        <w:rPr>
          <w:rFonts w:ascii="Garamond" w:hAnsi="Garamond"/>
          <w:kern w:val="0"/>
          <w:sz w:val="22"/>
          <w:szCs w:val="21"/>
        </w:rPr>
        <w:t xml:space="preserve">ed with different levels of government at </w:t>
      </w:r>
      <w:r w:rsidRPr="00EE7169">
        <w:rPr>
          <w:rFonts w:ascii="Garamond" w:hAnsi="Garamond"/>
          <w:kern w:val="0"/>
          <w:sz w:val="22"/>
          <w:szCs w:val="21"/>
        </w:rPr>
        <w:t>the beginning year</w:t>
      </w:r>
      <w:r w:rsidR="007D69AB" w:rsidRPr="00EE7169">
        <w:rPr>
          <w:rFonts w:ascii="Garamond" w:hAnsi="Garamond"/>
          <w:kern w:val="0"/>
          <w:sz w:val="22"/>
          <w:szCs w:val="21"/>
        </w:rPr>
        <w:t xml:space="preserve"> of our sample</w:t>
      </w:r>
      <w:r w:rsidRPr="00EE7169">
        <w:rPr>
          <w:rFonts w:ascii="Garamond" w:hAnsi="Garamond"/>
          <w:kern w:val="0"/>
          <w:sz w:val="22"/>
          <w:szCs w:val="21"/>
        </w:rPr>
        <w:t>.</w:t>
      </w:r>
    </w:p>
    <w:p w14:paraId="546B620B" w14:textId="77777777" w:rsidR="006677D1" w:rsidRDefault="006677D1">
      <w:pPr>
        <w:widowControl/>
        <w:jc w:val="left"/>
        <w:rPr>
          <w:rFonts w:ascii="Garamond" w:hAnsi="Garamond"/>
          <w:b/>
          <w:noProof/>
          <w:sz w:val="24"/>
        </w:rPr>
      </w:pPr>
      <w:r>
        <w:rPr>
          <w:rFonts w:ascii="Garamond" w:hAnsi="Garamond"/>
          <w:b/>
          <w:noProof/>
          <w:sz w:val="24"/>
        </w:rPr>
        <w:br w:type="page"/>
      </w:r>
    </w:p>
    <w:p w14:paraId="157D3FAE" w14:textId="369D187D" w:rsidR="005C10CC" w:rsidRPr="00EE7169" w:rsidRDefault="006677D1" w:rsidP="006677D1">
      <w:pPr>
        <w:widowControl/>
        <w:jc w:val="left"/>
        <w:rPr>
          <w:rFonts w:ascii="Garamond" w:hAnsi="Garamond"/>
          <w:b/>
          <w:noProof/>
          <w:sz w:val="24"/>
        </w:rPr>
      </w:pPr>
      <w:r>
        <w:rPr>
          <w:rFonts w:ascii="Garamond" w:hAnsi="Garamond"/>
          <w:b/>
          <w:noProof/>
          <w:sz w:val="24"/>
        </w:rPr>
        <w:lastRenderedPageBreak/>
        <w:t xml:space="preserve">                    </w:t>
      </w:r>
      <w:r w:rsidR="005C10CC" w:rsidRPr="00EE7169">
        <w:rPr>
          <w:rFonts w:ascii="Garamond" w:hAnsi="Garamond"/>
          <w:b/>
          <w:noProof/>
          <w:sz w:val="24"/>
        </w:rPr>
        <w:t>Figure 3: Third Front Construction Area</w:t>
      </w:r>
    </w:p>
    <w:p w14:paraId="0100B801" w14:textId="77777777" w:rsidR="005C10CC" w:rsidRPr="00EE7169" w:rsidRDefault="00920645" w:rsidP="005C10CC">
      <w:pPr>
        <w:widowControl/>
        <w:jc w:val="center"/>
        <w:rPr>
          <w:rFonts w:ascii="Garamond" w:hAnsi="Garamond"/>
          <w:b/>
          <w:kern w:val="0"/>
          <w:sz w:val="24"/>
          <w:szCs w:val="21"/>
        </w:rPr>
      </w:pPr>
      <w:r w:rsidRPr="00EE7169">
        <w:rPr>
          <w:rFonts w:ascii="Garamond" w:hAnsi="Garamond"/>
          <w:noProof/>
        </w:rPr>
        <w:drawing>
          <wp:inline distT="0" distB="0" distL="0" distR="0" wp14:anchorId="63539218" wp14:editId="181894C3">
            <wp:extent cx="4959226" cy="3683980"/>
            <wp:effectExtent l="19050" t="19050" r="13335" b="12065"/>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2787" cy="3686626"/>
                    </a:xfrm>
                    <a:prstGeom prst="rect">
                      <a:avLst/>
                    </a:prstGeom>
                    <a:solidFill>
                      <a:srgbClr val="F8F8F8"/>
                    </a:solidFill>
                    <a:ln w="9525" cmpd="sng">
                      <a:solidFill>
                        <a:srgbClr val="BBBBBB"/>
                      </a:solidFill>
                      <a:miter lim="800000"/>
                      <a:headEnd/>
                      <a:tailEnd/>
                    </a:ln>
                    <a:effectLst/>
                  </pic:spPr>
                </pic:pic>
              </a:graphicData>
            </a:graphic>
          </wp:inline>
        </w:drawing>
      </w:r>
    </w:p>
    <w:p w14:paraId="139F9DE9" w14:textId="534F31AF" w:rsidR="00AE0FD9" w:rsidRPr="00EE7169" w:rsidRDefault="00315E70" w:rsidP="00CC6F57">
      <w:pPr>
        <w:autoSpaceDE w:val="0"/>
        <w:autoSpaceDN w:val="0"/>
        <w:adjustRightInd w:val="0"/>
        <w:jc w:val="left"/>
        <w:rPr>
          <w:rFonts w:ascii="Garamond" w:hAnsi="Garamond"/>
          <w:kern w:val="0"/>
          <w:sz w:val="22"/>
          <w:szCs w:val="21"/>
        </w:rPr>
      </w:pPr>
      <w:r w:rsidRPr="00EE7169">
        <w:rPr>
          <w:rFonts w:ascii="Garamond" w:hAnsi="Garamond"/>
          <w:kern w:val="0"/>
          <w:sz w:val="22"/>
          <w:szCs w:val="21"/>
        </w:rPr>
        <w:t xml:space="preserve">Note: </w:t>
      </w:r>
      <w:r w:rsidR="007F3F12" w:rsidRPr="00EE7169">
        <w:rPr>
          <w:rFonts w:ascii="Garamond" w:hAnsi="Garamond"/>
          <w:kern w:val="0"/>
          <w:sz w:val="22"/>
          <w:szCs w:val="21"/>
        </w:rPr>
        <w:t>Th</w:t>
      </w:r>
      <w:r w:rsidR="007D69AB" w:rsidRPr="00EE7169">
        <w:rPr>
          <w:rFonts w:ascii="Garamond" w:hAnsi="Garamond"/>
          <w:kern w:val="0"/>
          <w:sz w:val="22"/>
          <w:szCs w:val="21"/>
        </w:rPr>
        <w:t xml:space="preserve">is </w:t>
      </w:r>
      <w:r w:rsidRPr="00EE7169">
        <w:rPr>
          <w:rFonts w:ascii="Garamond" w:hAnsi="Garamond"/>
          <w:kern w:val="0"/>
          <w:sz w:val="22"/>
          <w:szCs w:val="21"/>
        </w:rPr>
        <w:t>figure depicts the “Third Front Construction” area</w:t>
      </w:r>
      <w:r w:rsidR="00272568" w:rsidRPr="00EE7169">
        <w:rPr>
          <w:rFonts w:ascii="Garamond" w:hAnsi="Garamond"/>
          <w:kern w:val="0"/>
          <w:sz w:val="22"/>
          <w:szCs w:val="21"/>
        </w:rPr>
        <w:t xml:space="preserve"> in China</w:t>
      </w:r>
      <w:r w:rsidR="00AE0FD9" w:rsidRPr="00EE7169">
        <w:rPr>
          <w:rFonts w:ascii="Garamond" w:hAnsi="Garamond"/>
          <w:kern w:val="0"/>
          <w:sz w:val="22"/>
          <w:szCs w:val="21"/>
        </w:rPr>
        <w:t xml:space="preserve">.  </w:t>
      </w:r>
    </w:p>
    <w:p w14:paraId="6D79B92D" w14:textId="77777777" w:rsidR="00BA292D" w:rsidRPr="00EE7169" w:rsidRDefault="00BA292D" w:rsidP="00CC6F57">
      <w:pPr>
        <w:autoSpaceDE w:val="0"/>
        <w:autoSpaceDN w:val="0"/>
        <w:adjustRightInd w:val="0"/>
        <w:jc w:val="left"/>
        <w:rPr>
          <w:rFonts w:ascii="Garamond" w:hAnsi="Garamond"/>
          <w:kern w:val="0"/>
          <w:sz w:val="22"/>
          <w:szCs w:val="21"/>
        </w:rPr>
      </w:pPr>
    </w:p>
    <w:p w14:paraId="71C1EE44" w14:textId="77777777" w:rsidR="00F451FE" w:rsidRPr="00EE7169" w:rsidRDefault="00F451FE" w:rsidP="00CC6F57">
      <w:pPr>
        <w:autoSpaceDE w:val="0"/>
        <w:autoSpaceDN w:val="0"/>
        <w:adjustRightInd w:val="0"/>
        <w:jc w:val="left"/>
        <w:rPr>
          <w:rFonts w:ascii="Garamond" w:hAnsi="Garamond"/>
          <w:kern w:val="0"/>
          <w:sz w:val="22"/>
          <w:szCs w:val="21"/>
        </w:rPr>
      </w:pPr>
    </w:p>
    <w:p w14:paraId="37DE9320" w14:textId="43C13ABE" w:rsidR="006677D1" w:rsidRDefault="006677D1">
      <w:pPr>
        <w:widowControl/>
        <w:jc w:val="left"/>
        <w:rPr>
          <w:rFonts w:ascii="Garamond" w:hAnsi="Garamond"/>
          <w:kern w:val="0"/>
          <w:sz w:val="22"/>
          <w:szCs w:val="21"/>
        </w:rPr>
      </w:pPr>
      <w:r>
        <w:rPr>
          <w:rFonts w:ascii="Garamond" w:hAnsi="Garamond"/>
          <w:kern w:val="0"/>
          <w:sz w:val="22"/>
          <w:szCs w:val="21"/>
        </w:rPr>
        <w:br w:type="page"/>
      </w:r>
    </w:p>
    <w:p w14:paraId="66F761DD" w14:textId="77777777" w:rsidR="0086517B" w:rsidRPr="00EE7169" w:rsidRDefault="0086517B" w:rsidP="00CC6F57">
      <w:pPr>
        <w:autoSpaceDE w:val="0"/>
        <w:autoSpaceDN w:val="0"/>
        <w:adjustRightInd w:val="0"/>
        <w:jc w:val="left"/>
        <w:rPr>
          <w:rFonts w:ascii="Garamond" w:hAnsi="Garamond"/>
          <w:kern w:val="0"/>
          <w:sz w:val="22"/>
          <w:szCs w:val="21"/>
        </w:rPr>
      </w:pPr>
    </w:p>
    <w:p w14:paraId="70BF062B" w14:textId="7924442C" w:rsidR="005C10CC" w:rsidRPr="00EE7169" w:rsidRDefault="005C10CC" w:rsidP="005C10CC">
      <w:pPr>
        <w:jc w:val="center"/>
        <w:rPr>
          <w:rFonts w:ascii="Garamond" w:hAnsi="Garamond"/>
          <w:b/>
          <w:sz w:val="24"/>
          <w:szCs w:val="24"/>
        </w:rPr>
      </w:pPr>
      <w:r w:rsidRPr="00EE7169">
        <w:rPr>
          <w:rFonts w:ascii="Garamond" w:hAnsi="Garamond"/>
          <w:b/>
          <w:sz w:val="24"/>
          <w:szCs w:val="24"/>
        </w:rPr>
        <w:t xml:space="preserve">Figure 4. Number of </w:t>
      </w:r>
      <w:r w:rsidR="00E73531" w:rsidRPr="00EE7169">
        <w:rPr>
          <w:rFonts w:ascii="Garamond" w:hAnsi="Garamond"/>
          <w:b/>
          <w:sz w:val="24"/>
          <w:szCs w:val="24"/>
        </w:rPr>
        <w:t xml:space="preserve">New </w:t>
      </w:r>
      <w:r w:rsidRPr="00EE7169">
        <w:rPr>
          <w:rFonts w:ascii="Garamond" w:hAnsi="Garamond"/>
          <w:b/>
          <w:sz w:val="24"/>
          <w:szCs w:val="24"/>
        </w:rPr>
        <w:t xml:space="preserve">Firms </w:t>
      </w:r>
      <w:r w:rsidR="007D69AB" w:rsidRPr="00EE7169">
        <w:rPr>
          <w:rFonts w:ascii="Garamond" w:hAnsi="Garamond"/>
          <w:b/>
          <w:sz w:val="24"/>
          <w:szCs w:val="24"/>
        </w:rPr>
        <w:t xml:space="preserve">in “Third Front Construction” Area </w:t>
      </w:r>
      <w:r w:rsidR="00870AEB" w:rsidRPr="00EE7169">
        <w:rPr>
          <w:rFonts w:ascii="Garamond" w:hAnsi="Garamond"/>
          <w:b/>
          <w:sz w:val="24"/>
          <w:szCs w:val="24"/>
        </w:rPr>
        <w:t>d</w:t>
      </w:r>
      <w:r w:rsidRPr="00EE7169">
        <w:rPr>
          <w:rFonts w:ascii="Garamond" w:hAnsi="Garamond"/>
          <w:b/>
          <w:sz w:val="24"/>
          <w:szCs w:val="24"/>
        </w:rPr>
        <w:t xml:space="preserve">uring 1961-1985 </w:t>
      </w:r>
    </w:p>
    <w:p w14:paraId="6B5C8DC3" w14:textId="77777777" w:rsidR="005C10CC" w:rsidRPr="00EE7169" w:rsidRDefault="00920645" w:rsidP="005C10CC">
      <w:pPr>
        <w:jc w:val="center"/>
        <w:rPr>
          <w:rFonts w:ascii="Garamond" w:hAnsi="Garamond"/>
        </w:rPr>
      </w:pPr>
      <w:r w:rsidRPr="00EE7169">
        <w:rPr>
          <w:rFonts w:ascii="Garamond" w:hAnsi="Garamond"/>
          <w:noProof/>
        </w:rPr>
        <w:drawing>
          <wp:inline distT="0" distB="0" distL="0" distR="0" wp14:anchorId="020FC1DA" wp14:editId="318C86D6">
            <wp:extent cx="4584700" cy="2755900"/>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8B772A4" w14:textId="1023CD7F" w:rsidR="00E304CA" w:rsidRPr="00EE7169" w:rsidRDefault="008D5801" w:rsidP="00B756BC">
      <w:pPr>
        <w:autoSpaceDE w:val="0"/>
        <w:autoSpaceDN w:val="0"/>
        <w:adjustRightInd w:val="0"/>
        <w:jc w:val="left"/>
        <w:rPr>
          <w:rFonts w:ascii="Garamond" w:hAnsi="Garamond"/>
          <w:b/>
          <w:kern w:val="0"/>
          <w:sz w:val="22"/>
          <w:szCs w:val="24"/>
        </w:rPr>
      </w:pPr>
      <w:r w:rsidRPr="00EE7169">
        <w:rPr>
          <w:rFonts w:ascii="Garamond" w:hAnsi="Garamond"/>
          <w:kern w:val="0"/>
          <w:sz w:val="22"/>
          <w:szCs w:val="24"/>
        </w:rPr>
        <w:t>Source</w:t>
      </w:r>
      <w:r w:rsidR="00F451FE" w:rsidRPr="00EE7169">
        <w:rPr>
          <w:rFonts w:ascii="Garamond" w:hAnsi="Garamond"/>
          <w:color w:val="333333"/>
          <w:kern w:val="28"/>
          <w:sz w:val="22"/>
          <w:szCs w:val="24"/>
        </w:rPr>
        <w:t>: The data is from</w:t>
      </w:r>
      <w:r w:rsidR="00352D97" w:rsidRPr="00EE7169">
        <w:rPr>
          <w:rFonts w:ascii="Garamond" w:hAnsi="Garamond"/>
          <w:color w:val="333333"/>
          <w:kern w:val="28"/>
          <w:sz w:val="22"/>
          <w:szCs w:val="24"/>
        </w:rPr>
        <w:t xml:space="preserve"> Annual Survey of Industrial Firms (ASIF)</w:t>
      </w:r>
      <w:r w:rsidR="00F451FE" w:rsidRPr="00EE7169">
        <w:rPr>
          <w:rFonts w:ascii="Garamond" w:hAnsi="Garamond"/>
          <w:color w:val="333333"/>
          <w:kern w:val="28"/>
          <w:sz w:val="22"/>
          <w:szCs w:val="24"/>
        </w:rPr>
        <w:t>.</w:t>
      </w:r>
    </w:p>
    <w:p w14:paraId="71B7AB5D" w14:textId="77777777" w:rsidR="004D221A" w:rsidRPr="00EE7169" w:rsidRDefault="00132172" w:rsidP="00585786">
      <w:pPr>
        <w:widowControl/>
        <w:jc w:val="center"/>
        <w:rPr>
          <w:rFonts w:ascii="Garamond" w:hAnsi="Garamond"/>
          <w:b/>
          <w:kern w:val="0"/>
          <w:sz w:val="24"/>
          <w:szCs w:val="24"/>
        </w:rPr>
      </w:pPr>
      <w:r w:rsidRPr="00EE7169">
        <w:rPr>
          <w:rFonts w:ascii="Garamond" w:hAnsi="Garamond"/>
          <w:b/>
          <w:position w:val="-10"/>
          <w:sz w:val="28"/>
        </w:rPr>
        <w:br w:type="page"/>
      </w:r>
    </w:p>
    <w:tbl>
      <w:tblPr>
        <w:tblpPr w:leftFromText="180" w:rightFromText="180" w:vertAnchor="page" w:horzAnchor="margin" w:tblpXSpec="center" w:tblpY="1993"/>
        <w:tblW w:w="5000" w:type="pct"/>
        <w:tblBorders>
          <w:top w:val="single" w:sz="4" w:space="0" w:color="auto"/>
          <w:bottom w:val="single" w:sz="4" w:space="0" w:color="auto"/>
        </w:tblBorders>
        <w:tblLook w:val="04A0" w:firstRow="1" w:lastRow="0" w:firstColumn="1" w:lastColumn="0" w:noHBand="0" w:noVBand="1"/>
      </w:tblPr>
      <w:tblGrid>
        <w:gridCol w:w="3843"/>
        <w:gridCol w:w="1056"/>
        <w:gridCol w:w="1127"/>
        <w:gridCol w:w="985"/>
        <w:gridCol w:w="1222"/>
        <w:gridCol w:w="1127"/>
      </w:tblGrid>
      <w:tr w:rsidR="00900D70" w:rsidRPr="00EE7169" w14:paraId="5A504E0D" w14:textId="77777777" w:rsidTr="00900D70">
        <w:trPr>
          <w:trHeight w:val="329"/>
        </w:trPr>
        <w:tc>
          <w:tcPr>
            <w:tcW w:w="2053" w:type="pct"/>
            <w:tcBorders>
              <w:top w:val="single" w:sz="4" w:space="0" w:color="auto"/>
              <w:bottom w:val="single" w:sz="4" w:space="0" w:color="auto"/>
            </w:tcBorders>
            <w:shd w:val="clear" w:color="auto" w:fill="auto"/>
            <w:noWrap/>
            <w:vAlign w:val="center"/>
            <w:hideMark/>
          </w:tcPr>
          <w:p w14:paraId="2E35F583" w14:textId="65053D69" w:rsidR="00900D70" w:rsidRPr="00EE7169" w:rsidRDefault="00900D70" w:rsidP="004D221A">
            <w:pPr>
              <w:widowControl/>
              <w:jc w:val="left"/>
              <w:rPr>
                <w:rFonts w:ascii="Garamond" w:eastAsia="Arial Unicode MS" w:hAnsi="Garamond"/>
                <w:bCs/>
                <w:color w:val="000000"/>
                <w:kern w:val="0"/>
                <w:sz w:val="22"/>
              </w:rPr>
            </w:pPr>
          </w:p>
        </w:tc>
        <w:tc>
          <w:tcPr>
            <w:tcW w:w="564" w:type="pct"/>
            <w:tcBorders>
              <w:top w:val="single" w:sz="4" w:space="0" w:color="auto"/>
              <w:bottom w:val="single" w:sz="4" w:space="0" w:color="auto"/>
            </w:tcBorders>
            <w:shd w:val="clear" w:color="auto" w:fill="auto"/>
            <w:noWrap/>
            <w:vAlign w:val="center"/>
            <w:hideMark/>
          </w:tcPr>
          <w:p w14:paraId="67187DA0" w14:textId="77777777" w:rsidR="00900D70" w:rsidRPr="00EE7169" w:rsidRDefault="00900D70" w:rsidP="004D221A">
            <w:pPr>
              <w:widowControl/>
              <w:jc w:val="left"/>
              <w:rPr>
                <w:rFonts w:ascii="Garamond" w:eastAsia="Arial Unicode MS" w:hAnsi="Garamond"/>
                <w:bCs/>
                <w:color w:val="000000"/>
                <w:kern w:val="0"/>
                <w:sz w:val="22"/>
              </w:rPr>
            </w:pPr>
            <w:r w:rsidRPr="00EE7169">
              <w:rPr>
                <w:rFonts w:ascii="Garamond" w:eastAsia="Arial Unicode MS" w:hAnsi="Garamond"/>
                <w:bCs/>
                <w:color w:val="000000"/>
                <w:kern w:val="0"/>
                <w:sz w:val="22"/>
              </w:rPr>
              <w:t>Obs</w:t>
            </w:r>
          </w:p>
        </w:tc>
        <w:tc>
          <w:tcPr>
            <w:tcW w:w="602" w:type="pct"/>
            <w:tcBorders>
              <w:top w:val="single" w:sz="4" w:space="0" w:color="auto"/>
              <w:bottom w:val="single" w:sz="4" w:space="0" w:color="auto"/>
            </w:tcBorders>
            <w:shd w:val="clear" w:color="auto" w:fill="auto"/>
            <w:noWrap/>
            <w:vAlign w:val="center"/>
            <w:hideMark/>
          </w:tcPr>
          <w:p w14:paraId="31985791" w14:textId="77777777" w:rsidR="00900D70" w:rsidRPr="00EE7169" w:rsidRDefault="00900D70" w:rsidP="004D221A">
            <w:pPr>
              <w:widowControl/>
              <w:jc w:val="left"/>
              <w:rPr>
                <w:rFonts w:ascii="Garamond" w:eastAsia="Arial Unicode MS" w:hAnsi="Garamond"/>
                <w:bCs/>
                <w:color w:val="000000"/>
                <w:kern w:val="0"/>
                <w:sz w:val="22"/>
              </w:rPr>
            </w:pPr>
            <w:r w:rsidRPr="00EE7169">
              <w:rPr>
                <w:rFonts w:ascii="Garamond" w:eastAsia="Arial Unicode MS" w:hAnsi="Garamond"/>
                <w:bCs/>
                <w:color w:val="000000"/>
                <w:kern w:val="0"/>
                <w:sz w:val="22"/>
              </w:rPr>
              <w:t>Mean</w:t>
            </w:r>
          </w:p>
        </w:tc>
        <w:tc>
          <w:tcPr>
            <w:tcW w:w="526" w:type="pct"/>
            <w:tcBorders>
              <w:top w:val="single" w:sz="4" w:space="0" w:color="auto"/>
              <w:bottom w:val="single" w:sz="4" w:space="0" w:color="auto"/>
            </w:tcBorders>
            <w:shd w:val="clear" w:color="auto" w:fill="auto"/>
            <w:noWrap/>
            <w:vAlign w:val="center"/>
            <w:hideMark/>
          </w:tcPr>
          <w:p w14:paraId="3C64137E" w14:textId="77777777" w:rsidR="00900D70" w:rsidRPr="00EE7169" w:rsidRDefault="00900D70" w:rsidP="004D221A">
            <w:pPr>
              <w:widowControl/>
              <w:jc w:val="left"/>
              <w:rPr>
                <w:rFonts w:ascii="Garamond" w:eastAsia="Arial Unicode MS" w:hAnsi="Garamond"/>
                <w:bCs/>
                <w:color w:val="000000"/>
                <w:kern w:val="0"/>
                <w:sz w:val="22"/>
              </w:rPr>
            </w:pPr>
            <w:r w:rsidRPr="00EE7169">
              <w:rPr>
                <w:rFonts w:ascii="Garamond" w:eastAsia="Arial Unicode MS" w:hAnsi="Garamond"/>
                <w:bCs/>
                <w:color w:val="000000"/>
                <w:kern w:val="0"/>
                <w:sz w:val="22"/>
              </w:rPr>
              <w:t>S.D.</w:t>
            </w:r>
          </w:p>
        </w:tc>
        <w:tc>
          <w:tcPr>
            <w:tcW w:w="653" w:type="pct"/>
            <w:tcBorders>
              <w:top w:val="single" w:sz="4" w:space="0" w:color="auto"/>
              <w:bottom w:val="single" w:sz="4" w:space="0" w:color="auto"/>
            </w:tcBorders>
            <w:shd w:val="clear" w:color="auto" w:fill="auto"/>
            <w:noWrap/>
            <w:vAlign w:val="center"/>
            <w:hideMark/>
          </w:tcPr>
          <w:p w14:paraId="664C9CFE" w14:textId="77777777" w:rsidR="00900D70" w:rsidRPr="00EE7169" w:rsidRDefault="00900D70" w:rsidP="004D221A">
            <w:pPr>
              <w:widowControl/>
              <w:jc w:val="left"/>
              <w:rPr>
                <w:rFonts w:ascii="Garamond" w:eastAsia="Arial Unicode MS" w:hAnsi="Garamond"/>
                <w:bCs/>
                <w:color w:val="000000"/>
                <w:kern w:val="0"/>
                <w:sz w:val="22"/>
              </w:rPr>
            </w:pPr>
            <w:r w:rsidRPr="00EE7169">
              <w:rPr>
                <w:rFonts w:ascii="Garamond" w:eastAsia="Arial Unicode MS" w:hAnsi="Garamond"/>
                <w:bCs/>
                <w:color w:val="000000"/>
                <w:kern w:val="0"/>
                <w:sz w:val="22"/>
              </w:rPr>
              <w:t>Min</w:t>
            </w:r>
          </w:p>
        </w:tc>
        <w:tc>
          <w:tcPr>
            <w:tcW w:w="602" w:type="pct"/>
            <w:tcBorders>
              <w:top w:val="single" w:sz="4" w:space="0" w:color="auto"/>
              <w:bottom w:val="single" w:sz="4" w:space="0" w:color="auto"/>
            </w:tcBorders>
            <w:shd w:val="clear" w:color="auto" w:fill="auto"/>
            <w:noWrap/>
            <w:vAlign w:val="center"/>
            <w:hideMark/>
          </w:tcPr>
          <w:p w14:paraId="242F9C69" w14:textId="77777777" w:rsidR="00900D70" w:rsidRPr="00EE7169" w:rsidRDefault="00900D70" w:rsidP="004D221A">
            <w:pPr>
              <w:widowControl/>
              <w:jc w:val="left"/>
              <w:rPr>
                <w:rFonts w:ascii="Garamond" w:eastAsia="Arial Unicode MS" w:hAnsi="Garamond"/>
                <w:bCs/>
                <w:color w:val="000000"/>
                <w:kern w:val="0"/>
                <w:sz w:val="22"/>
              </w:rPr>
            </w:pPr>
            <w:r w:rsidRPr="00EE7169">
              <w:rPr>
                <w:rFonts w:ascii="Garamond" w:eastAsia="Arial Unicode MS" w:hAnsi="Garamond"/>
                <w:bCs/>
                <w:color w:val="000000"/>
                <w:kern w:val="0"/>
                <w:sz w:val="22"/>
              </w:rPr>
              <w:t>Max</w:t>
            </w:r>
          </w:p>
        </w:tc>
      </w:tr>
      <w:tr w:rsidR="00900D70" w:rsidRPr="00EE7169" w14:paraId="0F45582E" w14:textId="77777777" w:rsidTr="00900D70">
        <w:trPr>
          <w:trHeight w:val="329"/>
        </w:trPr>
        <w:tc>
          <w:tcPr>
            <w:tcW w:w="2053" w:type="pct"/>
            <w:tcBorders>
              <w:top w:val="single" w:sz="4" w:space="0" w:color="auto"/>
              <w:bottom w:val="single" w:sz="4" w:space="0" w:color="auto"/>
            </w:tcBorders>
            <w:shd w:val="clear" w:color="auto" w:fill="auto"/>
            <w:noWrap/>
            <w:vAlign w:val="center"/>
          </w:tcPr>
          <w:p w14:paraId="720E0862" w14:textId="720AB850" w:rsidR="00900D70" w:rsidRPr="00EE7169" w:rsidRDefault="00900D70" w:rsidP="004D221A">
            <w:pPr>
              <w:widowControl/>
              <w:jc w:val="left"/>
              <w:rPr>
                <w:rFonts w:ascii="Garamond" w:eastAsia="Arial Unicode MS" w:hAnsi="Garamond"/>
                <w:b/>
                <w:bCs/>
                <w:color w:val="000000"/>
                <w:kern w:val="0"/>
                <w:sz w:val="22"/>
              </w:rPr>
            </w:pPr>
            <w:r w:rsidRPr="00EE7169">
              <w:rPr>
                <w:rFonts w:ascii="Garamond" w:eastAsia="Arial Unicode MS" w:hAnsi="Garamond"/>
                <w:b/>
                <w:bCs/>
                <w:color w:val="000000"/>
                <w:kern w:val="0"/>
                <w:sz w:val="22"/>
              </w:rPr>
              <w:t>Firm-level Variables</w:t>
            </w:r>
          </w:p>
        </w:tc>
        <w:tc>
          <w:tcPr>
            <w:tcW w:w="564" w:type="pct"/>
            <w:tcBorders>
              <w:top w:val="single" w:sz="4" w:space="0" w:color="auto"/>
              <w:bottom w:val="single" w:sz="4" w:space="0" w:color="auto"/>
            </w:tcBorders>
            <w:shd w:val="clear" w:color="auto" w:fill="auto"/>
            <w:noWrap/>
            <w:vAlign w:val="center"/>
          </w:tcPr>
          <w:p w14:paraId="1F648CA4" w14:textId="77777777" w:rsidR="00900D70" w:rsidRPr="00EE7169" w:rsidRDefault="00900D70" w:rsidP="004D221A">
            <w:pPr>
              <w:widowControl/>
              <w:jc w:val="left"/>
              <w:rPr>
                <w:rFonts w:ascii="Garamond" w:eastAsia="Arial Unicode MS" w:hAnsi="Garamond"/>
                <w:bCs/>
                <w:color w:val="000000"/>
                <w:kern w:val="0"/>
                <w:sz w:val="22"/>
              </w:rPr>
            </w:pPr>
          </w:p>
        </w:tc>
        <w:tc>
          <w:tcPr>
            <w:tcW w:w="602" w:type="pct"/>
            <w:tcBorders>
              <w:top w:val="single" w:sz="4" w:space="0" w:color="auto"/>
              <w:bottom w:val="single" w:sz="4" w:space="0" w:color="auto"/>
            </w:tcBorders>
            <w:shd w:val="clear" w:color="auto" w:fill="auto"/>
            <w:noWrap/>
            <w:vAlign w:val="center"/>
          </w:tcPr>
          <w:p w14:paraId="6F743EED" w14:textId="77777777" w:rsidR="00900D70" w:rsidRPr="00EE7169" w:rsidRDefault="00900D70" w:rsidP="004D221A">
            <w:pPr>
              <w:widowControl/>
              <w:jc w:val="left"/>
              <w:rPr>
                <w:rFonts w:ascii="Garamond" w:eastAsia="Arial Unicode MS" w:hAnsi="Garamond"/>
                <w:bCs/>
                <w:color w:val="000000"/>
                <w:kern w:val="0"/>
                <w:sz w:val="22"/>
              </w:rPr>
            </w:pPr>
          </w:p>
        </w:tc>
        <w:tc>
          <w:tcPr>
            <w:tcW w:w="526" w:type="pct"/>
            <w:tcBorders>
              <w:top w:val="single" w:sz="4" w:space="0" w:color="auto"/>
              <w:bottom w:val="single" w:sz="4" w:space="0" w:color="auto"/>
            </w:tcBorders>
            <w:shd w:val="clear" w:color="auto" w:fill="auto"/>
            <w:noWrap/>
            <w:vAlign w:val="center"/>
          </w:tcPr>
          <w:p w14:paraId="599EF1A6" w14:textId="77777777" w:rsidR="00900D70" w:rsidRPr="00EE7169" w:rsidRDefault="00900D70" w:rsidP="004D221A">
            <w:pPr>
              <w:widowControl/>
              <w:jc w:val="left"/>
              <w:rPr>
                <w:rFonts w:ascii="Garamond" w:eastAsia="Arial Unicode MS" w:hAnsi="Garamond"/>
                <w:bCs/>
                <w:color w:val="000000"/>
                <w:kern w:val="0"/>
                <w:sz w:val="22"/>
              </w:rPr>
            </w:pPr>
          </w:p>
        </w:tc>
        <w:tc>
          <w:tcPr>
            <w:tcW w:w="653" w:type="pct"/>
            <w:tcBorders>
              <w:top w:val="single" w:sz="4" w:space="0" w:color="auto"/>
              <w:bottom w:val="single" w:sz="4" w:space="0" w:color="auto"/>
            </w:tcBorders>
            <w:shd w:val="clear" w:color="auto" w:fill="auto"/>
            <w:noWrap/>
            <w:vAlign w:val="center"/>
          </w:tcPr>
          <w:p w14:paraId="41A94858" w14:textId="77777777" w:rsidR="00900D70" w:rsidRPr="00EE7169" w:rsidRDefault="00900D70" w:rsidP="004D221A">
            <w:pPr>
              <w:widowControl/>
              <w:jc w:val="left"/>
              <w:rPr>
                <w:rFonts w:ascii="Garamond" w:eastAsia="Arial Unicode MS" w:hAnsi="Garamond"/>
                <w:bCs/>
                <w:color w:val="000000"/>
                <w:kern w:val="0"/>
                <w:sz w:val="22"/>
              </w:rPr>
            </w:pPr>
          </w:p>
        </w:tc>
        <w:tc>
          <w:tcPr>
            <w:tcW w:w="602" w:type="pct"/>
            <w:tcBorders>
              <w:top w:val="single" w:sz="4" w:space="0" w:color="auto"/>
              <w:bottom w:val="single" w:sz="4" w:space="0" w:color="auto"/>
            </w:tcBorders>
            <w:shd w:val="clear" w:color="auto" w:fill="auto"/>
            <w:noWrap/>
            <w:vAlign w:val="center"/>
          </w:tcPr>
          <w:p w14:paraId="1649260C" w14:textId="77777777" w:rsidR="00900D70" w:rsidRPr="00EE7169" w:rsidRDefault="00900D70" w:rsidP="004D221A">
            <w:pPr>
              <w:widowControl/>
              <w:jc w:val="left"/>
              <w:rPr>
                <w:rFonts w:ascii="Garamond" w:eastAsia="Arial Unicode MS" w:hAnsi="Garamond"/>
                <w:bCs/>
                <w:color w:val="000000"/>
                <w:kern w:val="0"/>
                <w:sz w:val="22"/>
              </w:rPr>
            </w:pPr>
          </w:p>
        </w:tc>
      </w:tr>
      <w:tr w:rsidR="00900D70" w:rsidRPr="00EE7169" w14:paraId="5FA36992" w14:textId="77777777" w:rsidTr="00900D70">
        <w:trPr>
          <w:trHeight w:val="329"/>
        </w:trPr>
        <w:tc>
          <w:tcPr>
            <w:tcW w:w="2053" w:type="pct"/>
            <w:shd w:val="clear" w:color="auto" w:fill="auto"/>
            <w:noWrap/>
            <w:vAlign w:val="center"/>
            <w:hideMark/>
          </w:tcPr>
          <w:p w14:paraId="4AE05AA9" w14:textId="4513C60F" w:rsidR="00900D70" w:rsidRPr="00EE7169" w:rsidRDefault="00900D70" w:rsidP="004D221A">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Decentralized</w:t>
            </w:r>
          </w:p>
        </w:tc>
        <w:tc>
          <w:tcPr>
            <w:tcW w:w="564" w:type="pct"/>
            <w:shd w:val="clear" w:color="auto" w:fill="auto"/>
            <w:noWrap/>
            <w:vAlign w:val="center"/>
            <w:hideMark/>
          </w:tcPr>
          <w:p w14:paraId="1C02E874"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60274</w:t>
            </w:r>
          </w:p>
        </w:tc>
        <w:tc>
          <w:tcPr>
            <w:tcW w:w="602" w:type="pct"/>
            <w:shd w:val="clear" w:color="auto" w:fill="auto"/>
            <w:noWrap/>
            <w:vAlign w:val="center"/>
            <w:hideMark/>
          </w:tcPr>
          <w:p w14:paraId="369C6290"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0.019 </w:t>
            </w:r>
          </w:p>
        </w:tc>
        <w:tc>
          <w:tcPr>
            <w:tcW w:w="526" w:type="pct"/>
            <w:shd w:val="clear" w:color="auto" w:fill="auto"/>
            <w:noWrap/>
            <w:vAlign w:val="center"/>
            <w:hideMark/>
          </w:tcPr>
          <w:p w14:paraId="287DFF89"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0.135 </w:t>
            </w:r>
          </w:p>
        </w:tc>
        <w:tc>
          <w:tcPr>
            <w:tcW w:w="653" w:type="pct"/>
            <w:shd w:val="clear" w:color="auto" w:fill="auto"/>
            <w:noWrap/>
            <w:vAlign w:val="center"/>
            <w:hideMark/>
          </w:tcPr>
          <w:p w14:paraId="04C100B7"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0.000 </w:t>
            </w:r>
          </w:p>
        </w:tc>
        <w:tc>
          <w:tcPr>
            <w:tcW w:w="602" w:type="pct"/>
            <w:shd w:val="clear" w:color="auto" w:fill="auto"/>
            <w:noWrap/>
            <w:vAlign w:val="center"/>
            <w:hideMark/>
          </w:tcPr>
          <w:p w14:paraId="7B452D11"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1.000 </w:t>
            </w:r>
          </w:p>
        </w:tc>
      </w:tr>
      <w:tr w:rsidR="00900D70" w:rsidRPr="00EE7169" w14:paraId="58936330" w14:textId="77777777" w:rsidTr="00900D70">
        <w:trPr>
          <w:trHeight w:val="329"/>
        </w:trPr>
        <w:tc>
          <w:tcPr>
            <w:tcW w:w="2053" w:type="pct"/>
            <w:shd w:val="clear" w:color="auto" w:fill="auto"/>
            <w:noWrap/>
            <w:vAlign w:val="center"/>
            <w:hideMark/>
          </w:tcPr>
          <w:p w14:paraId="1B15DFF5" w14:textId="29D47389" w:rsidR="00900D70" w:rsidRPr="00EE7169" w:rsidRDefault="00900D70" w:rsidP="004664CE">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Different </w:t>
            </w:r>
            <w:r w:rsidR="004664CE" w:rsidRPr="00EE7169">
              <w:rPr>
                <w:rFonts w:ascii="Garamond" w:eastAsia="Arial Unicode MS" w:hAnsi="Garamond"/>
                <w:color w:val="000000"/>
                <w:kern w:val="0"/>
                <w:sz w:val="22"/>
              </w:rPr>
              <w:t>c</w:t>
            </w:r>
            <w:r w:rsidRPr="00EE7169">
              <w:rPr>
                <w:rFonts w:ascii="Garamond" w:eastAsia="Arial Unicode MS" w:hAnsi="Garamond"/>
                <w:color w:val="000000"/>
                <w:kern w:val="0"/>
                <w:sz w:val="22"/>
              </w:rPr>
              <w:t>ity</w:t>
            </w:r>
          </w:p>
        </w:tc>
        <w:tc>
          <w:tcPr>
            <w:tcW w:w="564" w:type="pct"/>
            <w:shd w:val="clear" w:color="auto" w:fill="auto"/>
            <w:noWrap/>
            <w:vAlign w:val="center"/>
            <w:hideMark/>
          </w:tcPr>
          <w:p w14:paraId="313D6C48"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58076</w:t>
            </w:r>
          </w:p>
        </w:tc>
        <w:tc>
          <w:tcPr>
            <w:tcW w:w="602" w:type="pct"/>
            <w:shd w:val="clear" w:color="auto" w:fill="auto"/>
            <w:noWrap/>
            <w:vAlign w:val="center"/>
            <w:hideMark/>
          </w:tcPr>
          <w:p w14:paraId="1C6FDB6D"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0.304 </w:t>
            </w:r>
          </w:p>
        </w:tc>
        <w:tc>
          <w:tcPr>
            <w:tcW w:w="526" w:type="pct"/>
            <w:shd w:val="clear" w:color="auto" w:fill="auto"/>
            <w:noWrap/>
            <w:vAlign w:val="center"/>
            <w:hideMark/>
          </w:tcPr>
          <w:p w14:paraId="0A41B333"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0.460 </w:t>
            </w:r>
          </w:p>
        </w:tc>
        <w:tc>
          <w:tcPr>
            <w:tcW w:w="653" w:type="pct"/>
            <w:shd w:val="clear" w:color="auto" w:fill="auto"/>
            <w:noWrap/>
            <w:vAlign w:val="center"/>
            <w:hideMark/>
          </w:tcPr>
          <w:p w14:paraId="158473C3"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0.000 </w:t>
            </w:r>
          </w:p>
        </w:tc>
        <w:tc>
          <w:tcPr>
            <w:tcW w:w="602" w:type="pct"/>
            <w:shd w:val="clear" w:color="auto" w:fill="auto"/>
            <w:noWrap/>
            <w:vAlign w:val="center"/>
            <w:hideMark/>
          </w:tcPr>
          <w:p w14:paraId="1559B737"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1.000 </w:t>
            </w:r>
          </w:p>
        </w:tc>
      </w:tr>
      <w:tr w:rsidR="00900D70" w:rsidRPr="00EE7169" w14:paraId="7C628B90" w14:textId="77777777" w:rsidTr="00900D70">
        <w:trPr>
          <w:trHeight w:val="329"/>
        </w:trPr>
        <w:tc>
          <w:tcPr>
            <w:tcW w:w="2053" w:type="pct"/>
            <w:shd w:val="clear" w:color="auto" w:fill="auto"/>
            <w:noWrap/>
            <w:vAlign w:val="center"/>
            <w:hideMark/>
          </w:tcPr>
          <w:p w14:paraId="2951020E" w14:textId="77777777" w:rsidR="00900D70" w:rsidRPr="00EE7169" w:rsidRDefault="00900D70" w:rsidP="004D221A">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Distance</w:t>
            </w:r>
          </w:p>
        </w:tc>
        <w:tc>
          <w:tcPr>
            <w:tcW w:w="564" w:type="pct"/>
            <w:shd w:val="clear" w:color="auto" w:fill="auto"/>
            <w:noWrap/>
            <w:vAlign w:val="center"/>
            <w:hideMark/>
          </w:tcPr>
          <w:p w14:paraId="23C88FDB"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58076</w:t>
            </w:r>
          </w:p>
        </w:tc>
        <w:tc>
          <w:tcPr>
            <w:tcW w:w="602" w:type="pct"/>
            <w:shd w:val="clear" w:color="auto" w:fill="auto"/>
            <w:noWrap/>
            <w:vAlign w:val="center"/>
            <w:hideMark/>
          </w:tcPr>
          <w:p w14:paraId="604383F2"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2.984 </w:t>
            </w:r>
          </w:p>
        </w:tc>
        <w:tc>
          <w:tcPr>
            <w:tcW w:w="526" w:type="pct"/>
            <w:shd w:val="clear" w:color="auto" w:fill="auto"/>
            <w:noWrap/>
            <w:vAlign w:val="center"/>
            <w:hideMark/>
          </w:tcPr>
          <w:p w14:paraId="1929CE62"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2.238 </w:t>
            </w:r>
          </w:p>
        </w:tc>
        <w:tc>
          <w:tcPr>
            <w:tcW w:w="653" w:type="pct"/>
            <w:shd w:val="clear" w:color="auto" w:fill="auto"/>
            <w:noWrap/>
            <w:vAlign w:val="center"/>
            <w:hideMark/>
          </w:tcPr>
          <w:p w14:paraId="73DF358E"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0.000 </w:t>
            </w:r>
          </w:p>
        </w:tc>
        <w:tc>
          <w:tcPr>
            <w:tcW w:w="602" w:type="pct"/>
            <w:shd w:val="clear" w:color="auto" w:fill="auto"/>
            <w:noWrap/>
            <w:vAlign w:val="center"/>
            <w:hideMark/>
          </w:tcPr>
          <w:p w14:paraId="55166C04" w14:textId="77777777" w:rsidR="00900D70" w:rsidRPr="00EE7169" w:rsidRDefault="00900D70" w:rsidP="004D221A">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8.129 </w:t>
            </w:r>
          </w:p>
        </w:tc>
      </w:tr>
      <w:tr w:rsidR="00900D70" w:rsidRPr="00EE7169" w14:paraId="791DBA4B" w14:textId="77777777" w:rsidTr="00900D70">
        <w:trPr>
          <w:trHeight w:val="329"/>
        </w:trPr>
        <w:tc>
          <w:tcPr>
            <w:tcW w:w="2053" w:type="pct"/>
            <w:shd w:val="clear" w:color="auto" w:fill="auto"/>
            <w:noWrap/>
            <w:vAlign w:val="center"/>
            <w:hideMark/>
          </w:tcPr>
          <w:p w14:paraId="6B9119A8" w14:textId="269517E1"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Firm asset</w:t>
            </w:r>
          </w:p>
        </w:tc>
        <w:tc>
          <w:tcPr>
            <w:tcW w:w="564" w:type="pct"/>
            <w:shd w:val="clear" w:color="auto" w:fill="auto"/>
            <w:noWrap/>
            <w:vAlign w:val="center"/>
            <w:hideMark/>
          </w:tcPr>
          <w:p w14:paraId="38923619"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60274</w:t>
            </w:r>
          </w:p>
        </w:tc>
        <w:tc>
          <w:tcPr>
            <w:tcW w:w="602" w:type="pct"/>
            <w:shd w:val="clear" w:color="auto" w:fill="auto"/>
            <w:noWrap/>
            <w:vAlign w:val="center"/>
            <w:hideMark/>
          </w:tcPr>
          <w:p w14:paraId="5C321E7E"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10.719 </w:t>
            </w:r>
          </w:p>
        </w:tc>
        <w:tc>
          <w:tcPr>
            <w:tcW w:w="526" w:type="pct"/>
            <w:shd w:val="clear" w:color="auto" w:fill="auto"/>
            <w:noWrap/>
            <w:vAlign w:val="center"/>
            <w:hideMark/>
          </w:tcPr>
          <w:p w14:paraId="09C8B792"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1.897 </w:t>
            </w:r>
          </w:p>
        </w:tc>
        <w:tc>
          <w:tcPr>
            <w:tcW w:w="653" w:type="pct"/>
            <w:shd w:val="clear" w:color="auto" w:fill="auto"/>
            <w:noWrap/>
            <w:vAlign w:val="center"/>
            <w:hideMark/>
          </w:tcPr>
          <w:p w14:paraId="74370FD0"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0.662 </w:t>
            </w:r>
          </w:p>
        </w:tc>
        <w:tc>
          <w:tcPr>
            <w:tcW w:w="602" w:type="pct"/>
            <w:shd w:val="clear" w:color="auto" w:fill="auto"/>
            <w:noWrap/>
            <w:vAlign w:val="center"/>
            <w:hideMark/>
          </w:tcPr>
          <w:p w14:paraId="7F668C1B"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19.892 </w:t>
            </w:r>
          </w:p>
        </w:tc>
      </w:tr>
      <w:tr w:rsidR="00900D70" w:rsidRPr="00EE7169" w14:paraId="0EF5A16E" w14:textId="77777777" w:rsidTr="00900D70">
        <w:trPr>
          <w:trHeight w:val="329"/>
        </w:trPr>
        <w:tc>
          <w:tcPr>
            <w:tcW w:w="2053" w:type="pct"/>
            <w:shd w:val="clear" w:color="auto" w:fill="auto"/>
            <w:noWrap/>
            <w:vAlign w:val="center"/>
          </w:tcPr>
          <w:p w14:paraId="78D09D9D" w14:textId="003EA672"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Firm age</w:t>
            </w:r>
          </w:p>
        </w:tc>
        <w:tc>
          <w:tcPr>
            <w:tcW w:w="564" w:type="pct"/>
            <w:shd w:val="clear" w:color="auto" w:fill="auto"/>
            <w:noWrap/>
            <w:vAlign w:val="center"/>
          </w:tcPr>
          <w:p w14:paraId="763B9208" w14:textId="77D3E706" w:rsidR="00900D70" w:rsidRPr="00EE7169" w:rsidRDefault="00900D70" w:rsidP="006646E2">
            <w:pPr>
              <w:widowControl/>
              <w:jc w:val="right"/>
              <w:rPr>
                <w:rFonts w:ascii="Garamond" w:eastAsia="Arial Unicode MS" w:hAnsi="Garamond"/>
                <w:color w:val="000000"/>
                <w:kern w:val="0"/>
                <w:sz w:val="22"/>
              </w:rPr>
            </w:pPr>
            <w:r w:rsidRPr="00EE7169">
              <w:rPr>
                <w:rFonts w:ascii="Garamond" w:hAnsi="Garamond"/>
                <w:color w:val="000000"/>
                <w:sz w:val="22"/>
              </w:rPr>
              <w:t>60143</w:t>
            </w:r>
          </w:p>
        </w:tc>
        <w:tc>
          <w:tcPr>
            <w:tcW w:w="602" w:type="pct"/>
            <w:shd w:val="clear" w:color="auto" w:fill="auto"/>
            <w:noWrap/>
            <w:vAlign w:val="center"/>
          </w:tcPr>
          <w:p w14:paraId="665E42CD" w14:textId="1752D222" w:rsidR="00900D70" w:rsidRPr="00EE7169" w:rsidRDefault="00900D70" w:rsidP="006646E2">
            <w:pPr>
              <w:widowControl/>
              <w:jc w:val="right"/>
              <w:rPr>
                <w:rFonts w:ascii="Garamond" w:eastAsia="Arial Unicode MS" w:hAnsi="Garamond"/>
                <w:color w:val="000000"/>
                <w:kern w:val="0"/>
                <w:sz w:val="22"/>
              </w:rPr>
            </w:pPr>
            <w:r w:rsidRPr="00EE7169">
              <w:rPr>
                <w:rFonts w:ascii="Garamond" w:hAnsi="Garamond"/>
                <w:color w:val="000000"/>
                <w:sz w:val="22"/>
              </w:rPr>
              <w:t>3.151</w:t>
            </w:r>
          </w:p>
        </w:tc>
        <w:tc>
          <w:tcPr>
            <w:tcW w:w="526" w:type="pct"/>
            <w:shd w:val="clear" w:color="auto" w:fill="auto"/>
            <w:noWrap/>
            <w:vAlign w:val="center"/>
          </w:tcPr>
          <w:p w14:paraId="4935A317" w14:textId="5F542D0E" w:rsidR="00900D70" w:rsidRPr="00EE7169" w:rsidRDefault="00900D70" w:rsidP="006646E2">
            <w:pPr>
              <w:widowControl/>
              <w:jc w:val="right"/>
              <w:rPr>
                <w:rFonts w:ascii="Garamond" w:eastAsia="Arial Unicode MS" w:hAnsi="Garamond"/>
                <w:color w:val="000000"/>
                <w:kern w:val="0"/>
                <w:sz w:val="22"/>
              </w:rPr>
            </w:pPr>
            <w:r w:rsidRPr="00EE7169">
              <w:rPr>
                <w:rFonts w:ascii="Garamond" w:hAnsi="Garamond"/>
                <w:color w:val="000000"/>
                <w:sz w:val="22"/>
              </w:rPr>
              <w:t>0.839</w:t>
            </w:r>
          </w:p>
        </w:tc>
        <w:tc>
          <w:tcPr>
            <w:tcW w:w="653" w:type="pct"/>
            <w:shd w:val="clear" w:color="auto" w:fill="auto"/>
            <w:noWrap/>
            <w:vAlign w:val="center"/>
          </w:tcPr>
          <w:p w14:paraId="29BE836C" w14:textId="3B514F99" w:rsidR="00900D70" w:rsidRPr="00EE7169" w:rsidRDefault="00900D70" w:rsidP="006646E2">
            <w:pPr>
              <w:widowControl/>
              <w:jc w:val="right"/>
              <w:rPr>
                <w:rFonts w:ascii="Garamond" w:eastAsia="Arial Unicode MS" w:hAnsi="Garamond"/>
                <w:color w:val="000000"/>
                <w:kern w:val="0"/>
                <w:sz w:val="22"/>
              </w:rPr>
            </w:pPr>
            <w:r w:rsidRPr="00EE7169">
              <w:rPr>
                <w:rFonts w:ascii="Garamond" w:hAnsi="Garamond"/>
                <w:color w:val="000000"/>
                <w:sz w:val="22"/>
              </w:rPr>
              <w:t>0.000</w:t>
            </w:r>
          </w:p>
        </w:tc>
        <w:tc>
          <w:tcPr>
            <w:tcW w:w="602" w:type="pct"/>
            <w:shd w:val="clear" w:color="auto" w:fill="auto"/>
            <w:noWrap/>
            <w:vAlign w:val="center"/>
          </w:tcPr>
          <w:p w14:paraId="0CC48674" w14:textId="39676E6F" w:rsidR="00900D70" w:rsidRPr="00EE7169" w:rsidRDefault="00900D70" w:rsidP="006646E2">
            <w:pPr>
              <w:widowControl/>
              <w:jc w:val="right"/>
              <w:rPr>
                <w:rFonts w:ascii="Garamond" w:eastAsia="Arial Unicode MS" w:hAnsi="Garamond"/>
                <w:color w:val="000000"/>
                <w:kern w:val="0"/>
                <w:sz w:val="22"/>
              </w:rPr>
            </w:pPr>
            <w:r w:rsidRPr="00EE7169">
              <w:rPr>
                <w:rFonts w:ascii="Garamond" w:hAnsi="Garamond"/>
                <w:color w:val="000000"/>
                <w:sz w:val="22"/>
              </w:rPr>
              <w:t>7.602</w:t>
            </w:r>
          </w:p>
        </w:tc>
      </w:tr>
      <w:tr w:rsidR="00900D70" w:rsidRPr="00EE7169" w14:paraId="0D29CF3F" w14:textId="77777777" w:rsidTr="00900D70">
        <w:trPr>
          <w:trHeight w:val="329"/>
        </w:trPr>
        <w:tc>
          <w:tcPr>
            <w:tcW w:w="2053" w:type="pct"/>
            <w:shd w:val="clear" w:color="auto" w:fill="auto"/>
            <w:noWrap/>
            <w:vAlign w:val="center"/>
            <w:hideMark/>
          </w:tcPr>
          <w:p w14:paraId="0480D78B" w14:textId="77777777"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ROS</w:t>
            </w:r>
          </w:p>
        </w:tc>
        <w:tc>
          <w:tcPr>
            <w:tcW w:w="564" w:type="pct"/>
            <w:shd w:val="clear" w:color="auto" w:fill="auto"/>
            <w:noWrap/>
            <w:vAlign w:val="center"/>
            <w:hideMark/>
          </w:tcPr>
          <w:p w14:paraId="5DD9B28E"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59150</w:t>
            </w:r>
          </w:p>
        </w:tc>
        <w:tc>
          <w:tcPr>
            <w:tcW w:w="602" w:type="pct"/>
            <w:shd w:val="clear" w:color="auto" w:fill="auto"/>
            <w:noWrap/>
            <w:vAlign w:val="center"/>
            <w:hideMark/>
          </w:tcPr>
          <w:p w14:paraId="03A3E13C"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-0.171 </w:t>
            </w:r>
          </w:p>
        </w:tc>
        <w:tc>
          <w:tcPr>
            <w:tcW w:w="526" w:type="pct"/>
            <w:shd w:val="clear" w:color="auto" w:fill="auto"/>
            <w:noWrap/>
            <w:vAlign w:val="center"/>
            <w:hideMark/>
          </w:tcPr>
          <w:p w14:paraId="410460A3"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0.501 </w:t>
            </w:r>
          </w:p>
        </w:tc>
        <w:tc>
          <w:tcPr>
            <w:tcW w:w="653" w:type="pct"/>
            <w:shd w:val="clear" w:color="auto" w:fill="auto"/>
            <w:noWrap/>
            <w:vAlign w:val="center"/>
            <w:hideMark/>
          </w:tcPr>
          <w:p w14:paraId="5FFC1CA3"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-5.259 </w:t>
            </w:r>
          </w:p>
        </w:tc>
        <w:tc>
          <w:tcPr>
            <w:tcW w:w="602" w:type="pct"/>
            <w:shd w:val="clear" w:color="auto" w:fill="auto"/>
            <w:noWrap/>
            <w:vAlign w:val="center"/>
            <w:hideMark/>
          </w:tcPr>
          <w:p w14:paraId="65E387BB"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0.416 </w:t>
            </w:r>
          </w:p>
        </w:tc>
      </w:tr>
      <w:tr w:rsidR="00900D70" w:rsidRPr="00EE7169" w14:paraId="4CC50238" w14:textId="77777777" w:rsidTr="00900D70">
        <w:trPr>
          <w:trHeight w:val="329"/>
        </w:trPr>
        <w:tc>
          <w:tcPr>
            <w:tcW w:w="2053" w:type="pct"/>
            <w:shd w:val="clear" w:color="auto" w:fill="auto"/>
            <w:noWrap/>
            <w:vAlign w:val="center"/>
            <w:hideMark/>
          </w:tcPr>
          <w:p w14:paraId="18005E55" w14:textId="77777777"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Labor Productivity</w:t>
            </w:r>
          </w:p>
        </w:tc>
        <w:tc>
          <w:tcPr>
            <w:tcW w:w="564" w:type="pct"/>
            <w:shd w:val="clear" w:color="auto" w:fill="auto"/>
            <w:noWrap/>
            <w:vAlign w:val="center"/>
            <w:hideMark/>
          </w:tcPr>
          <w:p w14:paraId="612FB06E"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56993</w:t>
            </w:r>
          </w:p>
        </w:tc>
        <w:tc>
          <w:tcPr>
            <w:tcW w:w="602" w:type="pct"/>
            <w:shd w:val="clear" w:color="auto" w:fill="auto"/>
            <w:noWrap/>
            <w:vAlign w:val="center"/>
            <w:hideMark/>
          </w:tcPr>
          <w:p w14:paraId="7D9045B9"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2.946 </w:t>
            </w:r>
          </w:p>
        </w:tc>
        <w:tc>
          <w:tcPr>
            <w:tcW w:w="526" w:type="pct"/>
            <w:shd w:val="clear" w:color="auto" w:fill="auto"/>
            <w:noWrap/>
            <w:vAlign w:val="center"/>
            <w:hideMark/>
          </w:tcPr>
          <w:p w14:paraId="22CFBB47"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1.261 </w:t>
            </w:r>
          </w:p>
        </w:tc>
        <w:tc>
          <w:tcPr>
            <w:tcW w:w="653" w:type="pct"/>
            <w:shd w:val="clear" w:color="auto" w:fill="auto"/>
            <w:noWrap/>
            <w:vAlign w:val="center"/>
            <w:hideMark/>
          </w:tcPr>
          <w:p w14:paraId="16504A05"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-7.496 </w:t>
            </w:r>
          </w:p>
        </w:tc>
        <w:tc>
          <w:tcPr>
            <w:tcW w:w="602" w:type="pct"/>
            <w:shd w:val="clear" w:color="auto" w:fill="auto"/>
            <w:noWrap/>
            <w:vAlign w:val="center"/>
            <w:hideMark/>
          </w:tcPr>
          <w:p w14:paraId="21345046"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6.368 </w:t>
            </w:r>
          </w:p>
        </w:tc>
      </w:tr>
      <w:tr w:rsidR="00900D70" w:rsidRPr="00EE7169" w14:paraId="59F37CD7" w14:textId="77777777" w:rsidTr="00900D70">
        <w:trPr>
          <w:trHeight w:val="329"/>
        </w:trPr>
        <w:tc>
          <w:tcPr>
            <w:tcW w:w="2053" w:type="pct"/>
            <w:shd w:val="clear" w:color="auto" w:fill="auto"/>
            <w:noWrap/>
            <w:vAlign w:val="center"/>
            <w:hideMark/>
          </w:tcPr>
          <w:p w14:paraId="3CF30FB6" w14:textId="77777777"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TFP OLS</w:t>
            </w:r>
          </w:p>
        </w:tc>
        <w:tc>
          <w:tcPr>
            <w:tcW w:w="564" w:type="pct"/>
            <w:shd w:val="clear" w:color="auto" w:fill="auto"/>
            <w:noWrap/>
            <w:vAlign w:val="center"/>
            <w:hideMark/>
          </w:tcPr>
          <w:p w14:paraId="53AE8C23"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56144</w:t>
            </w:r>
          </w:p>
        </w:tc>
        <w:tc>
          <w:tcPr>
            <w:tcW w:w="602" w:type="pct"/>
            <w:shd w:val="clear" w:color="auto" w:fill="auto"/>
            <w:noWrap/>
            <w:vAlign w:val="center"/>
            <w:hideMark/>
          </w:tcPr>
          <w:p w14:paraId="6A42FE71"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0.426 </w:t>
            </w:r>
          </w:p>
        </w:tc>
        <w:tc>
          <w:tcPr>
            <w:tcW w:w="526" w:type="pct"/>
            <w:shd w:val="clear" w:color="auto" w:fill="auto"/>
            <w:noWrap/>
            <w:vAlign w:val="center"/>
            <w:hideMark/>
          </w:tcPr>
          <w:p w14:paraId="27282C30"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1.354 </w:t>
            </w:r>
          </w:p>
        </w:tc>
        <w:tc>
          <w:tcPr>
            <w:tcW w:w="653" w:type="pct"/>
            <w:shd w:val="clear" w:color="auto" w:fill="auto"/>
            <w:noWrap/>
            <w:vAlign w:val="center"/>
            <w:hideMark/>
          </w:tcPr>
          <w:p w14:paraId="4B33FFEF"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-10.698 </w:t>
            </w:r>
          </w:p>
        </w:tc>
        <w:tc>
          <w:tcPr>
            <w:tcW w:w="602" w:type="pct"/>
            <w:shd w:val="clear" w:color="auto" w:fill="auto"/>
            <w:noWrap/>
            <w:vAlign w:val="center"/>
            <w:hideMark/>
          </w:tcPr>
          <w:p w14:paraId="24EE4D24"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12.276 </w:t>
            </w:r>
          </w:p>
        </w:tc>
      </w:tr>
      <w:tr w:rsidR="00900D70" w:rsidRPr="00EE7169" w14:paraId="58E424EE" w14:textId="77777777" w:rsidTr="00900D70">
        <w:trPr>
          <w:trHeight w:val="329"/>
        </w:trPr>
        <w:tc>
          <w:tcPr>
            <w:tcW w:w="2053" w:type="pct"/>
            <w:shd w:val="clear" w:color="auto" w:fill="auto"/>
            <w:noWrap/>
            <w:vAlign w:val="center"/>
            <w:hideMark/>
          </w:tcPr>
          <w:p w14:paraId="5B77A69C" w14:textId="3F6241B2"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TFP </w:t>
            </w:r>
            <w:r w:rsidRPr="00EE7169">
              <w:rPr>
                <w:rFonts w:ascii="Garamond" w:hAnsi="Garamond"/>
                <w:color w:val="000000"/>
                <w:kern w:val="0"/>
                <w:sz w:val="22"/>
              </w:rPr>
              <w:t>Olley-Pakes</w:t>
            </w:r>
          </w:p>
        </w:tc>
        <w:tc>
          <w:tcPr>
            <w:tcW w:w="564" w:type="pct"/>
            <w:shd w:val="clear" w:color="auto" w:fill="auto"/>
            <w:noWrap/>
            <w:vAlign w:val="center"/>
            <w:hideMark/>
          </w:tcPr>
          <w:p w14:paraId="183F8CEF"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48778</w:t>
            </w:r>
          </w:p>
        </w:tc>
        <w:tc>
          <w:tcPr>
            <w:tcW w:w="602" w:type="pct"/>
            <w:shd w:val="clear" w:color="auto" w:fill="auto"/>
            <w:noWrap/>
            <w:vAlign w:val="center"/>
            <w:hideMark/>
          </w:tcPr>
          <w:p w14:paraId="590E73A1"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1.328 </w:t>
            </w:r>
          </w:p>
        </w:tc>
        <w:tc>
          <w:tcPr>
            <w:tcW w:w="526" w:type="pct"/>
            <w:shd w:val="clear" w:color="auto" w:fill="auto"/>
            <w:noWrap/>
            <w:vAlign w:val="center"/>
            <w:hideMark/>
          </w:tcPr>
          <w:p w14:paraId="1A76DA48"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1.474 </w:t>
            </w:r>
          </w:p>
        </w:tc>
        <w:tc>
          <w:tcPr>
            <w:tcW w:w="653" w:type="pct"/>
            <w:shd w:val="clear" w:color="auto" w:fill="auto"/>
            <w:noWrap/>
            <w:vAlign w:val="center"/>
            <w:hideMark/>
          </w:tcPr>
          <w:p w14:paraId="5CA0BA1F"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-9.930 </w:t>
            </w:r>
          </w:p>
        </w:tc>
        <w:tc>
          <w:tcPr>
            <w:tcW w:w="602" w:type="pct"/>
            <w:shd w:val="clear" w:color="auto" w:fill="auto"/>
            <w:noWrap/>
            <w:vAlign w:val="center"/>
            <w:hideMark/>
          </w:tcPr>
          <w:p w14:paraId="1D11196C"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9.483 </w:t>
            </w:r>
          </w:p>
        </w:tc>
      </w:tr>
      <w:tr w:rsidR="00900D70" w:rsidRPr="00EE7169" w14:paraId="1E9CB1D2" w14:textId="77777777" w:rsidTr="00900D70">
        <w:trPr>
          <w:trHeight w:val="329"/>
        </w:trPr>
        <w:tc>
          <w:tcPr>
            <w:tcW w:w="2053" w:type="pct"/>
            <w:shd w:val="clear" w:color="auto" w:fill="auto"/>
            <w:noWrap/>
            <w:vAlign w:val="center"/>
            <w:hideMark/>
          </w:tcPr>
          <w:p w14:paraId="43699501" w14:textId="2052DE81" w:rsidR="00900D70" w:rsidRPr="00EE7169" w:rsidRDefault="00900D70"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TFP </w:t>
            </w:r>
            <w:r w:rsidRPr="00EE7169">
              <w:rPr>
                <w:rFonts w:ascii="Garamond" w:hAnsi="Garamond"/>
                <w:color w:val="000000"/>
                <w:kern w:val="0"/>
                <w:sz w:val="22"/>
              </w:rPr>
              <w:t>Index Number</w:t>
            </w:r>
          </w:p>
        </w:tc>
        <w:tc>
          <w:tcPr>
            <w:tcW w:w="564" w:type="pct"/>
            <w:shd w:val="clear" w:color="auto" w:fill="auto"/>
            <w:noWrap/>
            <w:vAlign w:val="center"/>
            <w:hideMark/>
          </w:tcPr>
          <w:p w14:paraId="44861956"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56144</w:t>
            </w:r>
          </w:p>
        </w:tc>
        <w:tc>
          <w:tcPr>
            <w:tcW w:w="602" w:type="pct"/>
            <w:shd w:val="clear" w:color="auto" w:fill="auto"/>
            <w:noWrap/>
            <w:vAlign w:val="center"/>
            <w:hideMark/>
          </w:tcPr>
          <w:p w14:paraId="6786C724"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1.182 </w:t>
            </w:r>
          </w:p>
        </w:tc>
        <w:tc>
          <w:tcPr>
            <w:tcW w:w="526" w:type="pct"/>
            <w:shd w:val="clear" w:color="auto" w:fill="auto"/>
            <w:noWrap/>
            <w:vAlign w:val="center"/>
            <w:hideMark/>
          </w:tcPr>
          <w:p w14:paraId="3892942F"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1.411 </w:t>
            </w:r>
          </w:p>
        </w:tc>
        <w:tc>
          <w:tcPr>
            <w:tcW w:w="653" w:type="pct"/>
            <w:shd w:val="clear" w:color="auto" w:fill="auto"/>
            <w:noWrap/>
            <w:vAlign w:val="center"/>
            <w:hideMark/>
          </w:tcPr>
          <w:p w14:paraId="6A4B9C53"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-9.766 </w:t>
            </w:r>
          </w:p>
        </w:tc>
        <w:tc>
          <w:tcPr>
            <w:tcW w:w="602" w:type="pct"/>
            <w:shd w:val="clear" w:color="auto" w:fill="auto"/>
            <w:noWrap/>
            <w:vAlign w:val="center"/>
            <w:hideMark/>
          </w:tcPr>
          <w:p w14:paraId="71B90067"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12.085 </w:t>
            </w:r>
          </w:p>
        </w:tc>
      </w:tr>
      <w:tr w:rsidR="00900D70" w:rsidRPr="00EE7169" w14:paraId="754C5D71" w14:textId="77777777" w:rsidTr="00900D70">
        <w:trPr>
          <w:trHeight w:val="329"/>
        </w:trPr>
        <w:tc>
          <w:tcPr>
            <w:tcW w:w="2053" w:type="pct"/>
            <w:shd w:val="clear" w:color="auto" w:fill="auto"/>
            <w:noWrap/>
            <w:vAlign w:val="center"/>
            <w:hideMark/>
          </w:tcPr>
          <w:p w14:paraId="7C5E7CF5" w14:textId="68C1D1E0" w:rsidR="00900D70" w:rsidRPr="00EE7169" w:rsidRDefault="004664CE"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Firm i</w:t>
            </w:r>
            <w:r w:rsidR="00900D70" w:rsidRPr="00EE7169">
              <w:rPr>
                <w:rFonts w:ascii="Garamond" w:eastAsia="Arial Unicode MS" w:hAnsi="Garamond"/>
                <w:color w:val="000000"/>
                <w:kern w:val="0"/>
                <w:sz w:val="22"/>
              </w:rPr>
              <w:t>mportance</w:t>
            </w:r>
          </w:p>
        </w:tc>
        <w:tc>
          <w:tcPr>
            <w:tcW w:w="564" w:type="pct"/>
            <w:shd w:val="clear" w:color="auto" w:fill="auto"/>
            <w:noWrap/>
            <w:vAlign w:val="center"/>
            <w:hideMark/>
          </w:tcPr>
          <w:p w14:paraId="4FECC1A2"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59988</w:t>
            </w:r>
          </w:p>
        </w:tc>
        <w:tc>
          <w:tcPr>
            <w:tcW w:w="602" w:type="pct"/>
            <w:shd w:val="clear" w:color="auto" w:fill="auto"/>
            <w:noWrap/>
            <w:vAlign w:val="center"/>
            <w:hideMark/>
          </w:tcPr>
          <w:p w14:paraId="48CD3CA4"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0.310 </w:t>
            </w:r>
          </w:p>
        </w:tc>
        <w:tc>
          <w:tcPr>
            <w:tcW w:w="526" w:type="pct"/>
            <w:shd w:val="clear" w:color="auto" w:fill="auto"/>
            <w:noWrap/>
            <w:vAlign w:val="center"/>
            <w:hideMark/>
          </w:tcPr>
          <w:p w14:paraId="049C42CA"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0.381 </w:t>
            </w:r>
          </w:p>
        </w:tc>
        <w:tc>
          <w:tcPr>
            <w:tcW w:w="653" w:type="pct"/>
            <w:shd w:val="clear" w:color="auto" w:fill="auto"/>
            <w:noWrap/>
            <w:vAlign w:val="center"/>
            <w:hideMark/>
          </w:tcPr>
          <w:p w14:paraId="79BADF60"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0.000 </w:t>
            </w:r>
          </w:p>
        </w:tc>
        <w:tc>
          <w:tcPr>
            <w:tcW w:w="602" w:type="pct"/>
            <w:shd w:val="clear" w:color="auto" w:fill="auto"/>
            <w:noWrap/>
            <w:vAlign w:val="center"/>
            <w:hideMark/>
          </w:tcPr>
          <w:p w14:paraId="11185539"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1.000 </w:t>
            </w:r>
          </w:p>
        </w:tc>
      </w:tr>
      <w:tr w:rsidR="00900D70" w:rsidRPr="00EE7169" w14:paraId="4B6B2A53" w14:textId="77777777" w:rsidTr="00900D70">
        <w:trPr>
          <w:trHeight w:val="329"/>
        </w:trPr>
        <w:tc>
          <w:tcPr>
            <w:tcW w:w="2053" w:type="pct"/>
            <w:shd w:val="clear" w:color="auto" w:fill="auto"/>
            <w:noWrap/>
            <w:vAlign w:val="center"/>
            <w:hideMark/>
          </w:tcPr>
          <w:p w14:paraId="0DA9BD5A" w14:textId="77777777" w:rsidR="00900D70" w:rsidRPr="00EE7169" w:rsidRDefault="00900D70" w:rsidP="006646E2">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Fully state-owned</w:t>
            </w:r>
          </w:p>
        </w:tc>
        <w:tc>
          <w:tcPr>
            <w:tcW w:w="564" w:type="pct"/>
            <w:shd w:val="clear" w:color="auto" w:fill="auto"/>
            <w:noWrap/>
            <w:vAlign w:val="center"/>
            <w:hideMark/>
          </w:tcPr>
          <w:p w14:paraId="43D1DE91"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60274</w:t>
            </w:r>
          </w:p>
        </w:tc>
        <w:tc>
          <w:tcPr>
            <w:tcW w:w="602" w:type="pct"/>
            <w:shd w:val="clear" w:color="auto" w:fill="auto"/>
            <w:noWrap/>
            <w:vAlign w:val="center"/>
            <w:hideMark/>
          </w:tcPr>
          <w:p w14:paraId="65543558"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0.818 </w:t>
            </w:r>
          </w:p>
        </w:tc>
        <w:tc>
          <w:tcPr>
            <w:tcW w:w="526" w:type="pct"/>
            <w:shd w:val="clear" w:color="auto" w:fill="auto"/>
            <w:noWrap/>
            <w:vAlign w:val="center"/>
            <w:hideMark/>
          </w:tcPr>
          <w:p w14:paraId="6A8F548C"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0.385 </w:t>
            </w:r>
          </w:p>
        </w:tc>
        <w:tc>
          <w:tcPr>
            <w:tcW w:w="653" w:type="pct"/>
            <w:shd w:val="clear" w:color="auto" w:fill="auto"/>
            <w:noWrap/>
            <w:vAlign w:val="center"/>
            <w:hideMark/>
          </w:tcPr>
          <w:p w14:paraId="17AB6810"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0.000 </w:t>
            </w:r>
          </w:p>
        </w:tc>
        <w:tc>
          <w:tcPr>
            <w:tcW w:w="602" w:type="pct"/>
            <w:shd w:val="clear" w:color="auto" w:fill="auto"/>
            <w:noWrap/>
            <w:vAlign w:val="center"/>
            <w:hideMark/>
          </w:tcPr>
          <w:p w14:paraId="25C3E230" w14:textId="77777777" w:rsidR="00900D70" w:rsidRPr="00EE7169" w:rsidRDefault="00900D70" w:rsidP="006646E2">
            <w:pPr>
              <w:widowControl/>
              <w:jc w:val="right"/>
              <w:rPr>
                <w:rFonts w:ascii="Garamond" w:eastAsia="Arial Unicode MS" w:hAnsi="Garamond"/>
                <w:color w:val="000000"/>
                <w:kern w:val="0"/>
                <w:sz w:val="22"/>
              </w:rPr>
            </w:pPr>
            <w:r w:rsidRPr="00EE7169">
              <w:rPr>
                <w:rFonts w:ascii="Garamond" w:eastAsia="Arial Unicode MS" w:hAnsi="Garamond"/>
                <w:color w:val="000000"/>
                <w:kern w:val="0"/>
                <w:sz w:val="22"/>
              </w:rPr>
              <w:t xml:space="preserve">1.000 </w:t>
            </w:r>
          </w:p>
        </w:tc>
      </w:tr>
      <w:tr w:rsidR="00900D70" w:rsidRPr="00EE7169" w14:paraId="110358CF" w14:textId="77777777" w:rsidTr="00900D70">
        <w:trPr>
          <w:trHeight w:val="329"/>
        </w:trPr>
        <w:tc>
          <w:tcPr>
            <w:tcW w:w="2053" w:type="pct"/>
            <w:shd w:val="clear" w:color="auto" w:fill="auto"/>
            <w:noWrap/>
            <w:vAlign w:val="center"/>
          </w:tcPr>
          <w:p w14:paraId="694399A0" w14:textId="3CCB4F75" w:rsidR="00900D70" w:rsidRPr="00EE7169" w:rsidRDefault="00900D70" w:rsidP="006646E2">
            <w:pPr>
              <w:widowControl/>
              <w:jc w:val="left"/>
              <w:rPr>
                <w:rFonts w:ascii="Garamond" w:eastAsia="Arial Unicode MS" w:hAnsi="Garamond"/>
                <w:kern w:val="0"/>
                <w:sz w:val="22"/>
              </w:rPr>
            </w:pPr>
            <w:r w:rsidRPr="00EE7169">
              <w:rPr>
                <w:rFonts w:ascii="Garamond" w:eastAsia="Arial Unicode MS" w:hAnsi="Garamond"/>
                <w:kern w:val="0"/>
                <w:sz w:val="22"/>
              </w:rPr>
              <w:t>Third front firm</w:t>
            </w:r>
          </w:p>
        </w:tc>
        <w:tc>
          <w:tcPr>
            <w:tcW w:w="564" w:type="pct"/>
            <w:shd w:val="clear" w:color="auto" w:fill="auto"/>
            <w:noWrap/>
            <w:vAlign w:val="center"/>
          </w:tcPr>
          <w:p w14:paraId="61698968" w14:textId="77777777" w:rsidR="00900D70" w:rsidRPr="00EE7169" w:rsidRDefault="00900D70" w:rsidP="006646E2">
            <w:pPr>
              <w:widowControl/>
              <w:jc w:val="right"/>
              <w:rPr>
                <w:rFonts w:ascii="Garamond" w:eastAsia="Arial Unicode MS" w:hAnsi="Garamond"/>
                <w:kern w:val="0"/>
                <w:sz w:val="22"/>
              </w:rPr>
            </w:pPr>
            <w:r w:rsidRPr="00EE7169">
              <w:rPr>
                <w:rFonts w:ascii="Garamond" w:eastAsia="Arial Unicode MS" w:hAnsi="Garamond"/>
                <w:kern w:val="0"/>
                <w:sz w:val="22"/>
              </w:rPr>
              <w:t>60274</w:t>
            </w:r>
          </w:p>
        </w:tc>
        <w:tc>
          <w:tcPr>
            <w:tcW w:w="602" w:type="pct"/>
            <w:shd w:val="clear" w:color="auto" w:fill="auto"/>
            <w:noWrap/>
            <w:vAlign w:val="center"/>
          </w:tcPr>
          <w:p w14:paraId="28C94568" w14:textId="77777777" w:rsidR="00900D70" w:rsidRPr="00EE7169" w:rsidRDefault="00900D70" w:rsidP="006646E2">
            <w:pPr>
              <w:widowControl/>
              <w:jc w:val="right"/>
              <w:rPr>
                <w:rFonts w:ascii="Garamond" w:eastAsia="Arial Unicode MS" w:hAnsi="Garamond"/>
                <w:kern w:val="0"/>
                <w:sz w:val="22"/>
              </w:rPr>
            </w:pPr>
            <w:r w:rsidRPr="00EE7169">
              <w:rPr>
                <w:rFonts w:ascii="Garamond" w:eastAsia="Arial Unicode MS" w:hAnsi="Garamond"/>
                <w:kern w:val="0"/>
                <w:sz w:val="22"/>
              </w:rPr>
              <w:t xml:space="preserve">0.056 </w:t>
            </w:r>
          </w:p>
        </w:tc>
        <w:tc>
          <w:tcPr>
            <w:tcW w:w="526" w:type="pct"/>
            <w:shd w:val="clear" w:color="auto" w:fill="auto"/>
            <w:noWrap/>
            <w:vAlign w:val="center"/>
          </w:tcPr>
          <w:p w14:paraId="4C786C77" w14:textId="77777777" w:rsidR="00900D70" w:rsidRPr="00EE7169" w:rsidRDefault="00900D70" w:rsidP="006646E2">
            <w:pPr>
              <w:widowControl/>
              <w:jc w:val="right"/>
              <w:rPr>
                <w:rFonts w:ascii="Garamond" w:eastAsia="Arial Unicode MS" w:hAnsi="Garamond"/>
                <w:kern w:val="0"/>
                <w:sz w:val="22"/>
              </w:rPr>
            </w:pPr>
            <w:r w:rsidRPr="00EE7169">
              <w:rPr>
                <w:rFonts w:ascii="Garamond" w:eastAsia="Arial Unicode MS" w:hAnsi="Garamond"/>
                <w:kern w:val="0"/>
                <w:sz w:val="22"/>
              </w:rPr>
              <w:t xml:space="preserve">0.230 </w:t>
            </w:r>
          </w:p>
        </w:tc>
        <w:tc>
          <w:tcPr>
            <w:tcW w:w="653" w:type="pct"/>
            <w:shd w:val="clear" w:color="auto" w:fill="auto"/>
            <w:noWrap/>
            <w:vAlign w:val="center"/>
          </w:tcPr>
          <w:p w14:paraId="42E5E839" w14:textId="77777777" w:rsidR="00900D70" w:rsidRPr="00EE7169" w:rsidRDefault="00900D70" w:rsidP="006646E2">
            <w:pPr>
              <w:widowControl/>
              <w:jc w:val="right"/>
              <w:rPr>
                <w:rFonts w:ascii="Garamond" w:eastAsia="Arial Unicode MS" w:hAnsi="Garamond"/>
                <w:kern w:val="0"/>
                <w:sz w:val="22"/>
              </w:rPr>
            </w:pPr>
            <w:r w:rsidRPr="00EE7169">
              <w:rPr>
                <w:rFonts w:ascii="Garamond" w:eastAsia="Arial Unicode MS" w:hAnsi="Garamond"/>
                <w:kern w:val="0"/>
                <w:sz w:val="22"/>
              </w:rPr>
              <w:t xml:space="preserve">0.000 </w:t>
            </w:r>
          </w:p>
        </w:tc>
        <w:tc>
          <w:tcPr>
            <w:tcW w:w="602" w:type="pct"/>
            <w:shd w:val="clear" w:color="auto" w:fill="auto"/>
            <w:noWrap/>
            <w:vAlign w:val="center"/>
          </w:tcPr>
          <w:p w14:paraId="090AA821" w14:textId="77777777" w:rsidR="00900D70" w:rsidRPr="00EE7169" w:rsidRDefault="00900D70" w:rsidP="006646E2">
            <w:pPr>
              <w:widowControl/>
              <w:jc w:val="right"/>
              <w:rPr>
                <w:rFonts w:ascii="Garamond" w:eastAsia="Arial Unicode MS" w:hAnsi="Garamond"/>
                <w:kern w:val="0"/>
                <w:sz w:val="22"/>
              </w:rPr>
            </w:pPr>
            <w:r w:rsidRPr="00EE7169">
              <w:rPr>
                <w:rFonts w:ascii="Garamond" w:eastAsia="Arial Unicode MS" w:hAnsi="Garamond"/>
                <w:kern w:val="0"/>
                <w:sz w:val="22"/>
              </w:rPr>
              <w:t xml:space="preserve">1.000 </w:t>
            </w:r>
          </w:p>
        </w:tc>
      </w:tr>
      <w:tr w:rsidR="00900D70" w:rsidRPr="00EE7169" w14:paraId="4C270716" w14:textId="77777777" w:rsidTr="00900D70">
        <w:trPr>
          <w:trHeight w:val="329"/>
        </w:trPr>
        <w:tc>
          <w:tcPr>
            <w:tcW w:w="2053" w:type="pct"/>
            <w:shd w:val="clear" w:color="auto" w:fill="auto"/>
            <w:noWrap/>
            <w:vAlign w:val="center"/>
          </w:tcPr>
          <w:p w14:paraId="3033E8EF" w14:textId="657F5A45" w:rsidR="00900D70" w:rsidRPr="00EE7169" w:rsidRDefault="00900D70" w:rsidP="00900D70">
            <w:pPr>
              <w:widowControl/>
              <w:jc w:val="left"/>
              <w:rPr>
                <w:rFonts w:ascii="Garamond" w:eastAsia="Arial Unicode MS" w:hAnsi="Garamond"/>
                <w:kern w:val="0"/>
                <w:sz w:val="22"/>
              </w:rPr>
            </w:pPr>
            <w:r w:rsidRPr="00EE7169">
              <w:rPr>
                <w:rFonts w:ascii="Garamond" w:eastAsia="Arial Unicode MS" w:hAnsi="Garamond"/>
                <w:b/>
                <w:color w:val="000000"/>
                <w:kern w:val="0"/>
                <w:sz w:val="18"/>
                <w:szCs w:val="18"/>
              </w:rPr>
              <w:t>Province-level Variables</w:t>
            </w:r>
          </w:p>
        </w:tc>
        <w:tc>
          <w:tcPr>
            <w:tcW w:w="564" w:type="pct"/>
            <w:shd w:val="clear" w:color="auto" w:fill="auto"/>
            <w:noWrap/>
            <w:vAlign w:val="center"/>
          </w:tcPr>
          <w:p w14:paraId="527BF06A" w14:textId="77777777" w:rsidR="00900D70" w:rsidRPr="00EE7169" w:rsidRDefault="00900D70" w:rsidP="00900D70">
            <w:pPr>
              <w:widowControl/>
              <w:jc w:val="right"/>
              <w:rPr>
                <w:rFonts w:ascii="Garamond" w:eastAsia="Arial Unicode MS" w:hAnsi="Garamond"/>
                <w:kern w:val="0"/>
                <w:sz w:val="22"/>
              </w:rPr>
            </w:pPr>
          </w:p>
        </w:tc>
        <w:tc>
          <w:tcPr>
            <w:tcW w:w="602" w:type="pct"/>
            <w:shd w:val="clear" w:color="auto" w:fill="auto"/>
            <w:noWrap/>
            <w:vAlign w:val="center"/>
          </w:tcPr>
          <w:p w14:paraId="77C2F94E" w14:textId="77777777" w:rsidR="00900D70" w:rsidRPr="00EE7169" w:rsidRDefault="00900D70" w:rsidP="00900D70">
            <w:pPr>
              <w:widowControl/>
              <w:jc w:val="right"/>
              <w:rPr>
                <w:rFonts w:ascii="Garamond" w:eastAsia="Arial Unicode MS" w:hAnsi="Garamond"/>
                <w:kern w:val="0"/>
                <w:sz w:val="22"/>
              </w:rPr>
            </w:pPr>
          </w:p>
        </w:tc>
        <w:tc>
          <w:tcPr>
            <w:tcW w:w="526" w:type="pct"/>
            <w:shd w:val="clear" w:color="auto" w:fill="auto"/>
            <w:noWrap/>
            <w:vAlign w:val="center"/>
          </w:tcPr>
          <w:p w14:paraId="0DE32DA2" w14:textId="77777777" w:rsidR="00900D70" w:rsidRPr="00EE7169" w:rsidRDefault="00900D70" w:rsidP="00900D70">
            <w:pPr>
              <w:widowControl/>
              <w:jc w:val="right"/>
              <w:rPr>
                <w:rFonts w:ascii="Garamond" w:eastAsia="Arial Unicode MS" w:hAnsi="Garamond"/>
                <w:kern w:val="0"/>
                <w:sz w:val="22"/>
              </w:rPr>
            </w:pPr>
          </w:p>
        </w:tc>
        <w:tc>
          <w:tcPr>
            <w:tcW w:w="653" w:type="pct"/>
            <w:shd w:val="clear" w:color="auto" w:fill="auto"/>
            <w:noWrap/>
            <w:vAlign w:val="center"/>
          </w:tcPr>
          <w:p w14:paraId="5F5A62E9" w14:textId="77777777" w:rsidR="00900D70" w:rsidRPr="00EE7169" w:rsidRDefault="00900D70" w:rsidP="00900D70">
            <w:pPr>
              <w:widowControl/>
              <w:jc w:val="right"/>
              <w:rPr>
                <w:rFonts w:ascii="Garamond" w:eastAsia="Arial Unicode MS" w:hAnsi="Garamond"/>
                <w:kern w:val="0"/>
                <w:sz w:val="22"/>
              </w:rPr>
            </w:pPr>
          </w:p>
        </w:tc>
        <w:tc>
          <w:tcPr>
            <w:tcW w:w="602" w:type="pct"/>
            <w:shd w:val="clear" w:color="auto" w:fill="auto"/>
            <w:noWrap/>
            <w:vAlign w:val="center"/>
          </w:tcPr>
          <w:p w14:paraId="2991744A" w14:textId="77777777" w:rsidR="00900D70" w:rsidRPr="00EE7169" w:rsidRDefault="00900D70" w:rsidP="00900D70">
            <w:pPr>
              <w:widowControl/>
              <w:jc w:val="right"/>
              <w:rPr>
                <w:rFonts w:ascii="Garamond" w:eastAsia="Arial Unicode MS" w:hAnsi="Garamond"/>
                <w:kern w:val="0"/>
                <w:sz w:val="22"/>
              </w:rPr>
            </w:pPr>
          </w:p>
        </w:tc>
      </w:tr>
      <w:tr w:rsidR="00900D70" w:rsidRPr="00EE7169" w14:paraId="0B2B86B9" w14:textId="77777777" w:rsidTr="00900D70">
        <w:trPr>
          <w:trHeight w:val="329"/>
        </w:trPr>
        <w:tc>
          <w:tcPr>
            <w:tcW w:w="2053" w:type="pct"/>
            <w:shd w:val="clear" w:color="auto" w:fill="auto"/>
            <w:noWrap/>
            <w:vAlign w:val="center"/>
            <w:hideMark/>
          </w:tcPr>
          <w:p w14:paraId="2A2394FD" w14:textId="77777777" w:rsidR="00900D70" w:rsidRPr="00EE7169" w:rsidRDefault="00900D70"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GDP per capita</w:t>
            </w:r>
          </w:p>
        </w:tc>
        <w:tc>
          <w:tcPr>
            <w:tcW w:w="564" w:type="pct"/>
            <w:shd w:val="clear" w:color="auto" w:fill="auto"/>
            <w:noWrap/>
            <w:vAlign w:val="center"/>
            <w:hideMark/>
          </w:tcPr>
          <w:p w14:paraId="321770F9"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60264</w:t>
            </w:r>
          </w:p>
        </w:tc>
        <w:tc>
          <w:tcPr>
            <w:tcW w:w="602" w:type="pct"/>
            <w:shd w:val="clear" w:color="auto" w:fill="auto"/>
            <w:noWrap/>
            <w:vAlign w:val="center"/>
            <w:hideMark/>
          </w:tcPr>
          <w:p w14:paraId="4855C9BD"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8.531 </w:t>
            </w:r>
          </w:p>
        </w:tc>
        <w:tc>
          <w:tcPr>
            <w:tcW w:w="526" w:type="pct"/>
            <w:shd w:val="clear" w:color="auto" w:fill="auto"/>
            <w:noWrap/>
            <w:vAlign w:val="center"/>
            <w:hideMark/>
          </w:tcPr>
          <w:p w14:paraId="1E2923DD"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0.532 </w:t>
            </w:r>
          </w:p>
        </w:tc>
        <w:tc>
          <w:tcPr>
            <w:tcW w:w="653" w:type="pct"/>
            <w:shd w:val="clear" w:color="auto" w:fill="auto"/>
            <w:noWrap/>
            <w:vAlign w:val="center"/>
            <w:hideMark/>
          </w:tcPr>
          <w:p w14:paraId="2B51A4B6"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7.234 </w:t>
            </w:r>
          </w:p>
        </w:tc>
        <w:tc>
          <w:tcPr>
            <w:tcW w:w="602" w:type="pct"/>
            <w:shd w:val="clear" w:color="auto" w:fill="auto"/>
            <w:noWrap/>
            <w:vAlign w:val="center"/>
            <w:hideMark/>
          </w:tcPr>
          <w:p w14:paraId="7628A245"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10.160 </w:t>
            </w:r>
          </w:p>
        </w:tc>
      </w:tr>
      <w:tr w:rsidR="00900D70" w:rsidRPr="00EE7169" w14:paraId="0FA41778" w14:textId="77777777" w:rsidTr="00900D70">
        <w:trPr>
          <w:trHeight w:val="329"/>
        </w:trPr>
        <w:tc>
          <w:tcPr>
            <w:tcW w:w="2053" w:type="pct"/>
            <w:shd w:val="clear" w:color="auto" w:fill="auto"/>
            <w:noWrap/>
            <w:vAlign w:val="center"/>
            <w:hideMark/>
          </w:tcPr>
          <w:p w14:paraId="1FDC21BA" w14:textId="77777777" w:rsidR="00900D70" w:rsidRPr="00EE7169" w:rsidRDefault="00900D70"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State sector employment share</w:t>
            </w:r>
          </w:p>
        </w:tc>
        <w:tc>
          <w:tcPr>
            <w:tcW w:w="564" w:type="pct"/>
            <w:shd w:val="clear" w:color="auto" w:fill="auto"/>
            <w:noWrap/>
            <w:vAlign w:val="center"/>
            <w:hideMark/>
          </w:tcPr>
          <w:p w14:paraId="5B06B117"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60264</w:t>
            </w:r>
          </w:p>
        </w:tc>
        <w:tc>
          <w:tcPr>
            <w:tcW w:w="602" w:type="pct"/>
            <w:shd w:val="clear" w:color="auto" w:fill="auto"/>
            <w:noWrap/>
            <w:vAlign w:val="center"/>
            <w:hideMark/>
          </w:tcPr>
          <w:p w14:paraId="2AC49500"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0.511 </w:t>
            </w:r>
          </w:p>
        </w:tc>
        <w:tc>
          <w:tcPr>
            <w:tcW w:w="526" w:type="pct"/>
            <w:shd w:val="clear" w:color="auto" w:fill="auto"/>
            <w:noWrap/>
            <w:vAlign w:val="center"/>
            <w:hideMark/>
          </w:tcPr>
          <w:p w14:paraId="5294EC14"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0.109 </w:t>
            </w:r>
          </w:p>
        </w:tc>
        <w:tc>
          <w:tcPr>
            <w:tcW w:w="653" w:type="pct"/>
            <w:shd w:val="clear" w:color="auto" w:fill="auto"/>
            <w:noWrap/>
            <w:vAlign w:val="center"/>
            <w:hideMark/>
          </w:tcPr>
          <w:p w14:paraId="36319541"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0.173 </w:t>
            </w:r>
          </w:p>
        </w:tc>
        <w:tc>
          <w:tcPr>
            <w:tcW w:w="602" w:type="pct"/>
            <w:shd w:val="clear" w:color="auto" w:fill="auto"/>
            <w:noWrap/>
            <w:vAlign w:val="center"/>
            <w:hideMark/>
          </w:tcPr>
          <w:p w14:paraId="2737BE39"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0.794 </w:t>
            </w:r>
          </w:p>
        </w:tc>
      </w:tr>
      <w:tr w:rsidR="00900D70" w:rsidRPr="00EE7169" w14:paraId="77B07C58" w14:textId="77777777" w:rsidTr="00900D70">
        <w:trPr>
          <w:trHeight w:val="329"/>
        </w:trPr>
        <w:tc>
          <w:tcPr>
            <w:tcW w:w="2053" w:type="pct"/>
            <w:shd w:val="clear" w:color="auto" w:fill="auto"/>
            <w:noWrap/>
            <w:vAlign w:val="center"/>
            <w:hideMark/>
          </w:tcPr>
          <w:p w14:paraId="25251E01" w14:textId="77777777" w:rsidR="00900D70" w:rsidRPr="00EE7169" w:rsidRDefault="00900D70"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Unemployment rate</w:t>
            </w:r>
          </w:p>
        </w:tc>
        <w:tc>
          <w:tcPr>
            <w:tcW w:w="564" w:type="pct"/>
            <w:shd w:val="clear" w:color="auto" w:fill="auto"/>
            <w:noWrap/>
            <w:vAlign w:val="center"/>
            <w:hideMark/>
          </w:tcPr>
          <w:p w14:paraId="1BFCC3D0"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60264</w:t>
            </w:r>
          </w:p>
        </w:tc>
        <w:tc>
          <w:tcPr>
            <w:tcW w:w="602" w:type="pct"/>
            <w:shd w:val="clear" w:color="auto" w:fill="auto"/>
            <w:noWrap/>
            <w:vAlign w:val="center"/>
            <w:hideMark/>
          </w:tcPr>
          <w:p w14:paraId="4AF0C5EC"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3.386 </w:t>
            </w:r>
          </w:p>
        </w:tc>
        <w:tc>
          <w:tcPr>
            <w:tcW w:w="526" w:type="pct"/>
            <w:shd w:val="clear" w:color="auto" w:fill="auto"/>
            <w:noWrap/>
            <w:vAlign w:val="center"/>
            <w:hideMark/>
          </w:tcPr>
          <w:p w14:paraId="11E5D3E4"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0.878 </w:t>
            </w:r>
          </w:p>
        </w:tc>
        <w:tc>
          <w:tcPr>
            <w:tcW w:w="653" w:type="pct"/>
            <w:shd w:val="clear" w:color="auto" w:fill="auto"/>
            <w:noWrap/>
            <w:vAlign w:val="center"/>
            <w:hideMark/>
          </w:tcPr>
          <w:p w14:paraId="38FE8D8C"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0.620 </w:t>
            </w:r>
          </w:p>
        </w:tc>
        <w:tc>
          <w:tcPr>
            <w:tcW w:w="602" w:type="pct"/>
            <w:shd w:val="clear" w:color="auto" w:fill="auto"/>
            <w:noWrap/>
            <w:vAlign w:val="center"/>
            <w:hideMark/>
          </w:tcPr>
          <w:p w14:paraId="188904C9"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6.800 </w:t>
            </w:r>
          </w:p>
        </w:tc>
      </w:tr>
      <w:tr w:rsidR="00900D70" w:rsidRPr="00EE7169" w14:paraId="63C56452" w14:textId="77777777" w:rsidTr="00900D70">
        <w:trPr>
          <w:trHeight w:val="329"/>
        </w:trPr>
        <w:tc>
          <w:tcPr>
            <w:tcW w:w="2053" w:type="pct"/>
            <w:shd w:val="clear" w:color="auto" w:fill="auto"/>
            <w:noWrap/>
            <w:vAlign w:val="center"/>
            <w:hideMark/>
          </w:tcPr>
          <w:p w14:paraId="489F283D" w14:textId="28FEF063" w:rsidR="00900D70" w:rsidRPr="00EE7169" w:rsidRDefault="00DC0406" w:rsidP="00DC0406">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R</w:t>
            </w:r>
            <w:r w:rsidR="00900D70" w:rsidRPr="00EE7169">
              <w:rPr>
                <w:rFonts w:ascii="Garamond" w:eastAsia="Arial Unicode MS" w:hAnsi="Garamond"/>
                <w:color w:val="000000"/>
                <w:kern w:val="0"/>
                <w:sz w:val="22"/>
              </w:rPr>
              <w:t xml:space="preserve">oad </w:t>
            </w:r>
            <w:r w:rsidRPr="00EE7169">
              <w:rPr>
                <w:rFonts w:ascii="Garamond" w:eastAsia="Arial Unicode MS" w:hAnsi="Garamond"/>
                <w:color w:val="000000"/>
                <w:kern w:val="0"/>
                <w:sz w:val="22"/>
              </w:rPr>
              <w:t xml:space="preserve">mileage </w:t>
            </w:r>
          </w:p>
        </w:tc>
        <w:tc>
          <w:tcPr>
            <w:tcW w:w="564" w:type="pct"/>
            <w:shd w:val="clear" w:color="auto" w:fill="auto"/>
            <w:noWrap/>
            <w:vAlign w:val="center"/>
            <w:hideMark/>
          </w:tcPr>
          <w:p w14:paraId="1CD79822"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60264</w:t>
            </w:r>
          </w:p>
        </w:tc>
        <w:tc>
          <w:tcPr>
            <w:tcW w:w="602" w:type="pct"/>
            <w:shd w:val="clear" w:color="auto" w:fill="auto"/>
            <w:noWrap/>
            <w:vAlign w:val="center"/>
            <w:hideMark/>
          </w:tcPr>
          <w:p w14:paraId="15F42061"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13.711 </w:t>
            </w:r>
          </w:p>
        </w:tc>
        <w:tc>
          <w:tcPr>
            <w:tcW w:w="526" w:type="pct"/>
            <w:shd w:val="clear" w:color="auto" w:fill="auto"/>
            <w:noWrap/>
            <w:vAlign w:val="center"/>
            <w:hideMark/>
          </w:tcPr>
          <w:p w14:paraId="518ADC6A"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8.017 </w:t>
            </w:r>
          </w:p>
        </w:tc>
        <w:tc>
          <w:tcPr>
            <w:tcW w:w="653" w:type="pct"/>
            <w:shd w:val="clear" w:color="auto" w:fill="auto"/>
            <w:noWrap/>
            <w:vAlign w:val="center"/>
            <w:hideMark/>
          </w:tcPr>
          <w:p w14:paraId="5736AAAB"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3.936 </w:t>
            </w:r>
          </w:p>
        </w:tc>
        <w:tc>
          <w:tcPr>
            <w:tcW w:w="602" w:type="pct"/>
            <w:shd w:val="clear" w:color="auto" w:fill="auto"/>
            <w:noWrap/>
            <w:vAlign w:val="center"/>
            <w:hideMark/>
          </w:tcPr>
          <w:p w14:paraId="673E4BFE" w14:textId="77777777" w:rsidR="00900D70" w:rsidRPr="00EE7169" w:rsidRDefault="00900D70"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63.554 </w:t>
            </w:r>
          </w:p>
        </w:tc>
      </w:tr>
      <w:tr w:rsidR="00FF4D5C" w:rsidRPr="00EE7169" w14:paraId="2F9C3044" w14:textId="77777777" w:rsidTr="00900D70">
        <w:trPr>
          <w:trHeight w:val="329"/>
        </w:trPr>
        <w:tc>
          <w:tcPr>
            <w:tcW w:w="2053" w:type="pct"/>
            <w:shd w:val="clear" w:color="auto" w:fill="auto"/>
            <w:noWrap/>
            <w:vAlign w:val="center"/>
          </w:tcPr>
          <w:p w14:paraId="6D1B0992" w14:textId="5758C641" w:rsidR="00FF4D5C" w:rsidRPr="00EE7169" w:rsidRDefault="00FF4D5C"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Telecom infrastructure</w:t>
            </w:r>
          </w:p>
        </w:tc>
        <w:tc>
          <w:tcPr>
            <w:tcW w:w="564" w:type="pct"/>
            <w:shd w:val="clear" w:color="auto" w:fill="auto"/>
            <w:noWrap/>
            <w:vAlign w:val="center"/>
          </w:tcPr>
          <w:p w14:paraId="414B22A5" w14:textId="0CFF7955"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60264</w:t>
            </w:r>
          </w:p>
        </w:tc>
        <w:tc>
          <w:tcPr>
            <w:tcW w:w="602" w:type="pct"/>
            <w:shd w:val="clear" w:color="auto" w:fill="auto"/>
            <w:noWrap/>
            <w:vAlign w:val="center"/>
          </w:tcPr>
          <w:p w14:paraId="7A7CF079" w14:textId="3FDE74B7"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7.712</w:t>
            </w:r>
          </w:p>
        </w:tc>
        <w:tc>
          <w:tcPr>
            <w:tcW w:w="526" w:type="pct"/>
            <w:shd w:val="clear" w:color="auto" w:fill="auto"/>
            <w:noWrap/>
            <w:vAlign w:val="center"/>
          </w:tcPr>
          <w:p w14:paraId="26225EAD" w14:textId="54306B38"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0.813</w:t>
            </w:r>
          </w:p>
        </w:tc>
        <w:tc>
          <w:tcPr>
            <w:tcW w:w="653" w:type="pct"/>
            <w:shd w:val="clear" w:color="auto" w:fill="auto"/>
            <w:noWrap/>
            <w:vAlign w:val="center"/>
          </w:tcPr>
          <w:p w14:paraId="0F96CAF9" w14:textId="608E1BE8"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5.597</w:t>
            </w:r>
          </w:p>
        </w:tc>
        <w:tc>
          <w:tcPr>
            <w:tcW w:w="602" w:type="pct"/>
            <w:shd w:val="clear" w:color="auto" w:fill="auto"/>
            <w:noWrap/>
            <w:vAlign w:val="center"/>
          </w:tcPr>
          <w:p w14:paraId="26F567CF" w14:textId="46D187F2"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9.659</w:t>
            </w:r>
          </w:p>
        </w:tc>
      </w:tr>
      <w:tr w:rsidR="00FF4D5C" w:rsidRPr="00EE7169" w14:paraId="43416D99" w14:textId="77777777" w:rsidTr="00900D70">
        <w:trPr>
          <w:trHeight w:val="329"/>
        </w:trPr>
        <w:tc>
          <w:tcPr>
            <w:tcW w:w="2053" w:type="pct"/>
            <w:shd w:val="clear" w:color="auto" w:fill="auto"/>
            <w:noWrap/>
            <w:vAlign w:val="center"/>
          </w:tcPr>
          <w:p w14:paraId="2CD16292" w14:textId="089744FA" w:rsidR="00FF4D5C" w:rsidRPr="00EE7169" w:rsidRDefault="00FF4D5C"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Internet users</w:t>
            </w:r>
          </w:p>
        </w:tc>
        <w:tc>
          <w:tcPr>
            <w:tcW w:w="564" w:type="pct"/>
            <w:shd w:val="clear" w:color="auto" w:fill="auto"/>
            <w:noWrap/>
            <w:vAlign w:val="center"/>
          </w:tcPr>
          <w:p w14:paraId="77BF4A76" w14:textId="6F5921A2"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60264</w:t>
            </w:r>
          </w:p>
        </w:tc>
        <w:tc>
          <w:tcPr>
            <w:tcW w:w="602" w:type="pct"/>
            <w:shd w:val="clear" w:color="auto" w:fill="auto"/>
            <w:noWrap/>
            <w:vAlign w:val="center"/>
          </w:tcPr>
          <w:p w14:paraId="00987F64" w14:textId="496C3212"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4.490</w:t>
            </w:r>
          </w:p>
        </w:tc>
        <w:tc>
          <w:tcPr>
            <w:tcW w:w="526" w:type="pct"/>
            <w:shd w:val="clear" w:color="auto" w:fill="auto"/>
            <w:noWrap/>
            <w:vAlign w:val="center"/>
          </w:tcPr>
          <w:p w14:paraId="755BCFCE" w14:textId="56C9BDDF"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2.139</w:t>
            </w:r>
          </w:p>
        </w:tc>
        <w:tc>
          <w:tcPr>
            <w:tcW w:w="653" w:type="pct"/>
            <w:shd w:val="clear" w:color="auto" w:fill="auto"/>
            <w:noWrap/>
            <w:vAlign w:val="center"/>
          </w:tcPr>
          <w:p w14:paraId="5E3FFFAE" w14:textId="1485EBFB"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-1.446</w:t>
            </w:r>
          </w:p>
        </w:tc>
        <w:tc>
          <w:tcPr>
            <w:tcW w:w="602" w:type="pct"/>
            <w:shd w:val="clear" w:color="auto" w:fill="auto"/>
            <w:noWrap/>
            <w:vAlign w:val="center"/>
          </w:tcPr>
          <w:p w14:paraId="5840A687" w14:textId="70BAB919"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7.993</w:t>
            </w:r>
          </w:p>
        </w:tc>
      </w:tr>
      <w:tr w:rsidR="00FF4D5C" w:rsidRPr="00EE7169" w14:paraId="5E4608C7" w14:textId="77777777" w:rsidTr="00900D70">
        <w:trPr>
          <w:trHeight w:val="329"/>
        </w:trPr>
        <w:tc>
          <w:tcPr>
            <w:tcW w:w="2053" w:type="pct"/>
            <w:shd w:val="clear" w:color="auto" w:fill="auto"/>
            <w:noWrap/>
            <w:vAlign w:val="center"/>
          </w:tcPr>
          <w:p w14:paraId="48E50794" w14:textId="276F2FFC" w:rsidR="00FF4D5C" w:rsidRPr="00EE7169" w:rsidRDefault="00FF4D5C" w:rsidP="00900D70">
            <w:pPr>
              <w:widowControl/>
              <w:jc w:val="left"/>
              <w:rPr>
                <w:rFonts w:ascii="Garamond" w:eastAsia="Arial Unicode MS" w:hAnsi="Garamond"/>
                <w:color w:val="000000"/>
                <w:kern w:val="0"/>
                <w:sz w:val="22"/>
              </w:rPr>
            </w:pPr>
            <w:r w:rsidRPr="00EE7169">
              <w:rPr>
                <w:rFonts w:ascii="Garamond" w:eastAsia="Arial Unicode MS" w:hAnsi="Garamond"/>
                <w:b/>
                <w:color w:val="000000"/>
                <w:kern w:val="0"/>
                <w:sz w:val="18"/>
                <w:szCs w:val="18"/>
              </w:rPr>
              <w:t>Industry-level Variables</w:t>
            </w:r>
          </w:p>
        </w:tc>
        <w:tc>
          <w:tcPr>
            <w:tcW w:w="564" w:type="pct"/>
            <w:shd w:val="clear" w:color="auto" w:fill="auto"/>
            <w:noWrap/>
            <w:vAlign w:val="center"/>
          </w:tcPr>
          <w:p w14:paraId="15608592" w14:textId="77777777" w:rsidR="00FF4D5C" w:rsidRPr="00EE7169" w:rsidRDefault="00FF4D5C" w:rsidP="00900D70">
            <w:pPr>
              <w:widowControl/>
              <w:jc w:val="right"/>
              <w:rPr>
                <w:rFonts w:ascii="Garamond" w:eastAsia="Arial Unicode MS" w:hAnsi="Garamond"/>
                <w:kern w:val="0"/>
                <w:sz w:val="22"/>
              </w:rPr>
            </w:pPr>
          </w:p>
        </w:tc>
        <w:tc>
          <w:tcPr>
            <w:tcW w:w="602" w:type="pct"/>
            <w:shd w:val="clear" w:color="auto" w:fill="auto"/>
            <w:noWrap/>
            <w:vAlign w:val="center"/>
          </w:tcPr>
          <w:p w14:paraId="32F0EC7C" w14:textId="77777777" w:rsidR="00FF4D5C" w:rsidRPr="00EE7169" w:rsidRDefault="00FF4D5C" w:rsidP="00900D70">
            <w:pPr>
              <w:widowControl/>
              <w:jc w:val="right"/>
              <w:rPr>
                <w:rFonts w:ascii="Garamond" w:eastAsia="Arial Unicode MS" w:hAnsi="Garamond"/>
                <w:kern w:val="0"/>
                <w:sz w:val="22"/>
              </w:rPr>
            </w:pPr>
          </w:p>
        </w:tc>
        <w:tc>
          <w:tcPr>
            <w:tcW w:w="526" w:type="pct"/>
            <w:shd w:val="clear" w:color="auto" w:fill="auto"/>
            <w:noWrap/>
            <w:vAlign w:val="center"/>
          </w:tcPr>
          <w:p w14:paraId="5FAD1E99" w14:textId="77777777" w:rsidR="00FF4D5C" w:rsidRPr="00EE7169" w:rsidRDefault="00FF4D5C" w:rsidP="00900D70">
            <w:pPr>
              <w:widowControl/>
              <w:jc w:val="right"/>
              <w:rPr>
                <w:rFonts w:ascii="Garamond" w:eastAsia="Arial Unicode MS" w:hAnsi="Garamond"/>
                <w:kern w:val="0"/>
                <w:sz w:val="22"/>
              </w:rPr>
            </w:pPr>
          </w:p>
        </w:tc>
        <w:tc>
          <w:tcPr>
            <w:tcW w:w="653" w:type="pct"/>
            <w:shd w:val="clear" w:color="auto" w:fill="auto"/>
            <w:noWrap/>
            <w:vAlign w:val="center"/>
          </w:tcPr>
          <w:p w14:paraId="0F7BAD59" w14:textId="77777777" w:rsidR="00FF4D5C" w:rsidRPr="00EE7169" w:rsidRDefault="00FF4D5C" w:rsidP="00900D70">
            <w:pPr>
              <w:widowControl/>
              <w:jc w:val="right"/>
              <w:rPr>
                <w:rFonts w:ascii="Garamond" w:eastAsia="Arial Unicode MS" w:hAnsi="Garamond"/>
                <w:kern w:val="0"/>
                <w:sz w:val="22"/>
              </w:rPr>
            </w:pPr>
          </w:p>
        </w:tc>
        <w:tc>
          <w:tcPr>
            <w:tcW w:w="602" w:type="pct"/>
            <w:shd w:val="clear" w:color="auto" w:fill="auto"/>
            <w:noWrap/>
            <w:vAlign w:val="center"/>
          </w:tcPr>
          <w:p w14:paraId="16B5FA0A" w14:textId="77777777" w:rsidR="00FF4D5C" w:rsidRPr="00EE7169" w:rsidRDefault="00FF4D5C" w:rsidP="00900D70">
            <w:pPr>
              <w:widowControl/>
              <w:jc w:val="right"/>
              <w:rPr>
                <w:rFonts w:ascii="Garamond" w:eastAsia="Arial Unicode MS" w:hAnsi="Garamond"/>
                <w:kern w:val="0"/>
                <w:sz w:val="22"/>
              </w:rPr>
            </w:pPr>
          </w:p>
        </w:tc>
      </w:tr>
      <w:tr w:rsidR="00FF4D5C" w:rsidRPr="00EE7169" w14:paraId="20DBED00" w14:textId="77777777" w:rsidTr="00900D70">
        <w:trPr>
          <w:trHeight w:val="329"/>
        </w:trPr>
        <w:tc>
          <w:tcPr>
            <w:tcW w:w="2053" w:type="pct"/>
            <w:shd w:val="clear" w:color="auto" w:fill="auto"/>
            <w:noWrap/>
            <w:vAlign w:val="center"/>
          </w:tcPr>
          <w:p w14:paraId="026CD480" w14:textId="09A880C9" w:rsidR="00FF4D5C" w:rsidRPr="00EE7169" w:rsidRDefault="00FF4D5C"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Intangibility </w:t>
            </w:r>
          </w:p>
        </w:tc>
        <w:tc>
          <w:tcPr>
            <w:tcW w:w="564" w:type="pct"/>
            <w:shd w:val="clear" w:color="auto" w:fill="auto"/>
            <w:noWrap/>
            <w:vAlign w:val="center"/>
          </w:tcPr>
          <w:p w14:paraId="2420DF3C" w14:textId="2061447C"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60274</w:t>
            </w:r>
          </w:p>
        </w:tc>
        <w:tc>
          <w:tcPr>
            <w:tcW w:w="602" w:type="pct"/>
            <w:shd w:val="clear" w:color="auto" w:fill="auto"/>
            <w:noWrap/>
            <w:vAlign w:val="center"/>
          </w:tcPr>
          <w:p w14:paraId="1C20C523" w14:textId="4E8D1BFE"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0.015 </w:t>
            </w:r>
          </w:p>
        </w:tc>
        <w:tc>
          <w:tcPr>
            <w:tcW w:w="526" w:type="pct"/>
            <w:shd w:val="clear" w:color="auto" w:fill="auto"/>
            <w:noWrap/>
            <w:vAlign w:val="center"/>
          </w:tcPr>
          <w:p w14:paraId="30378D02" w14:textId="1677BC0A"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0.009 </w:t>
            </w:r>
          </w:p>
        </w:tc>
        <w:tc>
          <w:tcPr>
            <w:tcW w:w="653" w:type="pct"/>
            <w:shd w:val="clear" w:color="auto" w:fill="auto"/>
            <w:noWrap/>
            <w:vAlign w:val="center"/>
          </w:tcPr>
          <w:p w14:paraId="5E294F88" w14:textId="0A757A2B"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0.000 </w:t>
            </w:r>
          </w:p>
        </w:tc>
        <w:tc>
          <w:tcPr>
            <w:tcW w:w="602" w:type="pct"/>
            <w:shd w:val="clear" w:color="auto" w:fill="auto"/>
            <w:noWrap/>
            <w:vAlign w:val="center"/>
          </w:tcPr>
          <w:p w14:paraId="71DCEB05" w14:textId="57DC6F61"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0.068 </w:t>
            </w:r>
          </w:p>
        </w:tc>
      </w:tr>
      <w:tr w:rsidR="00FF4D5C" w:rsidRPr="00EE7169" w14:paraId="6110F92D" w14:textId="77777777" w:rsidTr="003506C9">
        <w:trPr>
          <w:trHeight w:val="329"/>
        </w:trPr>
        <w:tc>
          <w:tcPr>
            <w:tcW w:w="2053" w:type="pct"/>
            <w:shd w:val="clear" w:color="auto" w:fill="auto"/>
            <w:noWrap/>
            <w:vAlign w:val="center"/>
          </w:tcPr>
          <w:p w14:paraId="3B44D368" w14:textId="27C2A9C8" w:rsidR="00FF4D5C" w:rsidRPr="00EE7169" w:rsidRDefault="00FF4D5C" w:rsidP="00900D70">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ROS dispersion</w:t>
            </w:r>
          </w:p>
        </w:tc>
        <w:tc>
          <w:tcPr>
            <w:tcW w:w="564" w:type="pct"/>
            <w:shd w:val="clear" w:color="auto" w:fill="auto"/>
            <w:noWrap/>
            <w:vAlign w:val="center"/>
          </w:tcPr>
          <w:p w14:paraId="5A6F0CE1" w14:textId="118232F0" w:rsidR="00FF4D5C" w:rsidRPr="00EE7169" w:rsidRDefault="00FF4D5C" w:rsidP="00900D70">
            <w:pPr>
              <w:widowControl/>
              <w:jc w:val="right"/>
              <w:rPr>
                <w:rFonts w:ascii="Garamond" w:hAnsi="Garamond"/>
                <w:color w:val="000000"/>
                <w:sz w:val="22"/>
              </w:rPr>
            </w:pPr>
            <w:r w:rsidRPr="00EE7169">
              <w:rPr>
                <w:rFonts w:ascii="Garamond" w:hAnsi="Garamond"/>
                <w:color w:val="000000"/>
                <w:sz w:val="22"/>
              </w:rPr>
              <w:t>60274</w:t>
            </w:r>
          </w:p>
        </w:tc>
        <w:tc>
          <w:tcPr>
            <w:tcW w:w="602" w:type="pct"/>
            <w:shd w:val="clear" w:color="auto" w:fill="auto"/>
            <w:noWrap/>
            <w:vAlign w:val="center"/>
          </w:tcPr>
          <w:p w14:paraId="714DF43E" w14:textId="4AE8CF31" w:rsidR="00FF4D5C" w:rsidRPr="00EE7169" w:rsidRDefault="00FF4D5C" w:rsidP="00900D70">
            <w:pPr>
              <w:widowControl/>
              <w:jc w:val="right"/>
              <w:rPr>
                <w:rFonts w:ascii="Garamond" w:hAnsi="Garamond"/>
                <w:color w:val="000000"/>
                <w:sz w:val="22"/>
              </w:rPr>
            </w:pPr>
            <w:r w:rsidRPr="00EE7169">
              <w:rPr>
                <w:rFonts w:ascii="Garamond" w:hAnsi="Garamond"/>
                <w:color w:val="000000"/>
                <w:sz w:val="22"/>
              </w:rPr>
              <w:t>0.132</w:t>
            </w:r>
          </w:p>
        </w:tc>
        <w:tc>
          <w:tcPr>
            <w:tcW w:w="526" w:type="pct"/>
            <w:shd w:val="clear" w:color="auto" w:fill="auto"/>
            <w:noWrap/>
            <w:vAlign w:val="center"/>
          </w:tcPr>
          <w:p w14:paraId="569FECED" w14:textId="606178DE" w:rsidR="00FF4D5C" w:rsidRPr="00EE7169" w:rsidRDefault="00FF4D5C" w:rsidP="00900D70">
            <w:pPr>
              <w:widowControl/>
              <w:jc w:val="right"/>
              <w:rPr>
                <w:rFonts w:ascii="Garamond" w:hAnsi="Garamond"/>
                <w:color w:val="000000"/>
                <w:sz w:val="22"/>
              </w:rPr>
            </w:pPr>
            <w:r w:rsidRPr="00EE7169">
              <w:rPr>
                <w:rFonts w:ascii="Garamond" w:hAnsi="Garamond"/>
                <w:color w:val="000000"/>
                <w:sz w:val="22"/>
              </w:rPr>
              <w:t>0.036</w:t>
            </w:r>
          </w:p>
        </w:tc>
        <w:tc>
          <w:tcPr>
            <w:tcW w:w="653" w:type="pct"/>
            <w:shd w:val="clear" w:color="auto" w:fill="auto"/>
            <w:noWrap/>
            <w:vAlign w:val="center"/>
          </w:tcPr>
          <w:p w14:paraId="50512A6C" w14:textId="1666D656" w:rsidR="00FF4D5C" w:rsidRPr="00EE7169" w:rsidRDefault="00FF4D5C" w:rsidP="00900D70">
            <w:pPr>
              <w:widowControl/>
              <w:jc w:val="right"/>
              <w:rPr>
                <w:rFonts w:ascii="Garamond" w:hAnsi="Garamond"/>
                <w:color w:val="000000"/>
                <w:sz w:val="22"/>
              </w:rPr>
            </w:pPr>
            <w:r w:rsidRPr="00EE7169">
              <w:rPr>
                <w:rFonts w:ascii="Garamond" w:hAnsi="Garamond"/>
                <w:color w:val="000000"/>
                <w:sz w:val="22"/>
              </w:rPr>
              <w:t>0.057</w:t>
            </w:r>
          </w:p>
        </w:tc>
        <w:tc>
          <w:tcPr>
            <w:tcW w:w="602" w:type="pct"/>
            <w:shd w:val="clear" w:color="auto" w:fill="auto"/>
            <w:noWrap/>
            <w:vAlign w:val="center"/>
          </w:tcPr>
          <w:p w14:paraId="54D54168" w14:textId="0239541F" w:rsidR="00FF4D5C" w:rsidRPr="00EE7169" w:rsidRDefault="00FF4D5C" w:rsidP="00900D70">
            <w:pPr>
              <w:widowControl/>
              <w:jc w:val="right"/>
              <w:rPr>
                <w:rFonts w:ascii="Garamond" w:hAnsi="Garamond"/>
                <w:color w:val="000000"/>
                <w:sz w:val="22"/>
              </w:rPr>
            </w:pPr>
            <w:r w:rsidRPr="00EE7169">
              <w:rPr>
                <w:rFonts w:ascii="Garamond" w:hAnsi="Garamond"/>
                <w:color w:val="000000"/>
                <w:sz w:val="22"/>
              </w:rPr>
              <w:t>0.269</w:t>
            </w:r>
          </w:p>
        </w:tc>
      </w:tr>
      <w:tr w:rsidR="00FF4D5C" w:rsidRPr="00EE7169" w14:paraId="4E57EED8" w14:textId="77777777" w:rsidTr="00900D70">
        <w:trPr>
          <w:trHeight w:val="329"/>
        </w:trPr>
        <w:tc>
          <w:tcPr>
            <w:tcW w:w="2053" w:type="pct"/>
            <w:shd w:val="clear" w:color="auto" w:fill="auto"/>
            <w:noWrap/>
            <w:vAlign w:val="center"/>
          </w:tcPr>
          <w:p w14:paraId="1632FE75" w14:textId="66A50E42" w:rsidR="00FF4D5C" w:rsidRPr="00EE7169" w:rsidRDefault="00FF4D5C" w:rsidP="004664CE">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TFP OLS </w:t>
            </w:r>
            <w:r w:rsidR="004664CE" w:rsidRPr="00EE7169">
              <w:rPr>
                <w:rFonts w:ascii="Garamond" w:eastAsia="Arial Unicode MS" w:hAnsi="Garamond"/>
                <w:color w:val="000000"/>
                <w:kern w:val="0"/>
                <w:sz w:val="22"/>
              </w:rPr>
              <w:t>d</w:t>
            </w:r>
            <w:r w:rsidRPr="00EE7169">
              <w:rPr>
                <w:rFonts w:ascii="Garamond" w:eastAsia="Arial Unicode MS" w:hAnsi="Garamond"/>
                <w:color w:val="000000"/>
                <w:kern w:val="0"/>
                <w:sz w:val="22"/>
              </w:rPr>
              <w:t>ispersion</w:t>
            </w:r>
          </w:p>
        </w:tc>
        <w:tc>
          <w:tcPr>
            <w:tcW w:w="564" w:type="pct"/>
            <w:shd w:val="clear" w:color="auto" w:fill="auto"/>
            <w:noWrap/>
            <w:vAlign w:val="bottom"/>
          </w:tcPr>
          <w:p w14:paraId="3D588BDF" w14:textId="557F4DF8"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60274</w:t>
            </w:r>
          </w:p>
        </w:tc>
        <w:tc>
          <w:tcPr>
            <w:tcW w:w="602" w:type="pct"/>
            <w:shd w:val="clear" w:color="auto" w:fill="auto"/>
            <w:noWrap/>
            <w:vAlign w:val="bottom"/>
          </w:tcPr>
          <w:p w14:paraId="08FABACA" w14:textId="0FDF0EEB"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 xml:space="preserve">1.215 </w:t>
            </w:r>
          </w:p>
        </w:tc>
        <w:tc>
          <w:tcPr>
            <w:tcW w:w="526" w:type="pct"/>
            <w:shd w:val="clear" w:color="auto" w:fill="auto"/>
            <w:noWrap/>
            <w:vAlign w:val="bottom"/>
          </w:tcPr>
          <w:p w14:paraId="15DC8385" w14:textId="7B4C0F74"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 xml:space="preserve">0.184 </w:t>
            </w:r>
          </w:p>
        </w:tc>
        <w:tc>
          <w:tcPr>
            <w:tcW w:w="653" w:type="pct"/>
            <w:shd w:val="clear" w:color="auto" w:fill="auto"/>
            <w:noWrap/>
            <w:vAlign w:val="bottom"/>
          </w:tcPr>
          <w:p w14:paraId="47AE3844" w14:textId="2FF9DD49"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 xml:space="preserve">0.736 </w:t>
            </w:r>
          </w:p>
        </w:tc>
        <w:tc>
          <w:tcPr>
            <w:tcW w:w="602" w:type="pct"/>
            <w:shd w:val="clear" w:color="auto" w:fill="auto"/>
            <w:noWrap/>
            <w:vAlign w:val="bottom"/>
          </w:tcPr>
          <w:p w14:paraId="01B17654" w14:textId="1FAB1502"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 xml:space="preserve">2.193 </w:t>
            </w:r>
          </w:p>
        </w:tc>
      </w:tr>
      <w:tr w:rsidR="00FF4D5C" w:rsidRPr="00EE7169" w14:paraId="2CEEB043" w14:textId="77777777" w:rsidTr="00900D70">
        <w:trPr>
          <w:trHeight w:val="329"/>
        </w:trPr>
        <w:tc>
          <w:tcPr>
            <w:tcW w:w="2053" w:type="pct"/>
            <w:shd w:val="clear" w:color="auto" w:fill="auto"/>
            <w:noWrap/>
            <w:vAlign w:val="center"/>
          </w:tcPr>
          <w:p w14:paraId="7E3536C1" w14:textId="3A78A76C" w:rsidR="00FF4D5C" w:rsidRPr="00EE7169" w:rsidRDefault="00FF4D5C" w:rsidP="004664CE">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TFP </w:t>
            </w:r>
            <w:r w:rsidRPr="00EE7169">
              <w:rPr>
                <w:rFonts w:ascii="Garamond" w:hAnsi="Garamond"/>
                <w:color w:val="000000"/>
                <w:kern w:val="0"/>
                <w:sz w:val="22"/>
              </w:rPr>
              <w:t>Olley-Pakes</w:t>
            </w:r>
            <w:r w:rsidRPr="00EE7169">
              <w:rPr>
                <w:rFonts w:ascii="Garamond" w:eastAsia="Arial Unicode MS" w:hAnsi="Garamond"/>
                <w:color w:val="000000"/>
                <w:kern w:val="0"/>
                <w:sz w:val="22"/>
              </w:rPr>
              <w:t xml:space="preserve"> </w:t>
            </w:r>
            <w:r w:rsidR="004664CE" w:rsidRPr="00EE7169">
              <w:rPr>
                <w:rFonts w:ascii="Garamond" w:eastAsia="Arial Unicode MS" w:hAnsi="Garamond"/>
                <w:color w:val="000000"/>
                <w:kern w:val="0"/>
                <w:sz w:val="22"/>
              </w:rPr>
              <w:t>d</w:t>
            </w:r>
            <w:r w:rsidRPr="00EE7169">
              <w:rPr>
                <w:rFonts w:ascii="Garamond" w:eastAsia="Arial Unicode MS" w:hAnsi="Garamond"/>
                <w:color w:val="000000"/>
                <w:kern w:val="0"/>
                <w:sz w:val="22"/>
              </w:rPr>
              <w:t xml:space="preserve">ispersion </w:t>
            </w:r>
          </w:p>
        </w:tc>
        <w:tc>
          <w:tcPr>
            <w:tcW w:w="564" w:type="pct"/>
            <w:shd w:val="clear" w:color="auto" w:fill="auto"/>
            <w:noWrap/>
            <w:vAlign w:val="center"/>
          </w:tcPr>
          <w:p w14:paraId="5A828166" w14:textId="13E6F34A"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52496</w:t>
            </w:r>
          </w:p>
        </w:tc>
        <w:tc>
          <w:tcPr>
            <w:tcW w:w="602" w:type="pct"/>
            <w:shd w:val="clear" w:color="auto" w:fill="auto"/>
            <w:noWrap/>
            <w:vAlign w:val="center"/>
          </w:tcPr>
          <w:p w14:paraId="5BAB067C" w14:textId="1E10084B"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1.165 </w:t>
            </w:r>
          </w:p>
        </w:tc>
        <w:tc>
          <w:tcPr>
            <w:tcW w:w="526" w:type="pct"/>
            <w:shd w:val="clear" w:color="auto" w:fill="auto"/>
            <w:noWrap/>
            <w:vAlign w:val="center"/>
          </w:tcPr>
          <w:p w14:paraId="4B24BA7B" w14:textId="681AF7BD"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0.165 </w:t>
            </w:r>
          </w:p>
        </w:tc>
        <w:tc>
          <w:tcPr>
            <w:tcW w:w="653" w:type="pct"/>
            <w:shd w:val="clear" w:color="auto" w:fill="auto"/>
            <w:noWrap/>
            <w:vAlign w:val="center"/>
          </w:tcPr>
          <w:p w14:paraId="5B12EF0D" w14:textId="6D9F0D56"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0.749 </w:t>
            </w:r>
          </w:p>
        </w:tc>
        <w:tc>
          <w:tcPr>
            <w:tcW w:w="602" w:type="pct"/>
            <w:shd w:val="clear" w:color="auto" w:fill="auto"/>
            <w:noWrap/>
            <w:vAlign w:val="center"/>
          </w:tcPr>
          <w:p w14:paraId="0069B4EC" w14:textId="09CF89DE" w:rsidR="00FF4D5C" w:rsidRPr="00EE7169" w:rsidRDefault="00FF4D5C" w:rsidP="00900D70">
            <w:pPr>
              <w:widowControl/>
              <w:jc w:val="right"/>
              <w:rPr>
                <w:rFonts w:ascii="Garamond" w:eastAsia="Arial Unicode MS" w:hAnsi="Garamond"/>
                <w:kern w:val="0"/>
                <w:sz w:val="22"/>
              </w:rPr>
            </w:pPr>
            <w:r w:rsidRPr="00EE7169">
              <w:rPr>
                <w:rFonts w:ascii="Garamond" w:eastAsia="Arial Unicode MS" w:hAnsi="Garamond"/>
                <w:kern w:val="0"/>
                <w:sz w:val="22"/>
              </w:rPr>
              <w:t xml:space="preserve">2.094 </w:t>
            </w:r>
          </w:p>
        </w:tc>
      </w:tr>
      <w:tr w:rsidR="00FF4D5C" w:rsidRPr="00EE7169" w14:paraId="44B924CC" w14:textId="77777777" w:rsidTr="00900D70">
        <w:trPr>
          <w:trHeight w:val="329"/>
        </w:trPr>
        <w:tc>
          <w:tcPr>
            <w:tcW w:w="2053" w:type="pct"/>
            <w:shd w:val="clear" w:color="auto" w:fill="auto"/>
            <w:noWrap/>
            <w:vAlign w:val="center"/>
          </w:tcPr>
          <w:p w14:paraId="5BECBE26" w14:textId="57A4DDD5" w:rsidR="00FF4D5C" w:rsidRPr="00EE7169" w:rsidRDefault="00FF4D5C" w:rsidP="004664CE">
            <w:pPr>
              <w:widowControl/>
              <w:jc w:val="left"/>
              <w:rPr>
                <w:rFonts w:ascii="Garamond" w:eastAsia="Arial Unicode MS" w:hAnsi="Garamond"/>
                <w:color w:val="000000"/>
                <w:kern w:val="0"/>
                <w:sz w:val="22"/>
              </w:rPr>
            </w:pPr>
            <w:r w:rsidRPr="00EE7169">
              <w:rPr>
                <w:rFonts w:ascii="Garamond" w:eastAsia="Arial Unicode MS" w:hAnsi="Garamond"/>
                <w:color w:val="000000"/>
                <w:kern w:val="0"/>
                <w:sz w:val="22"/>
              </w:rPr>
              <w:t xml:space="preserve">TFP </w:t>
            </w:r>
            <w:r w:rsidRPr="00EE7169">
              <w:rPr>
                <w:rFonts w:ascii="Garamond" w:hAnsi="Garamond"/>
                <w:color w:val="000000"/>
                <w:kern w:val="0"/>
                <w:sz w:val="22"/>
              </w:rPr>
              <w:t>Index Number</w:t>
            </w:r>
            <w:r w:rsidRPr="00EE7169">
              <w:rPr>
                <w:rFonts w:ascii="Garamond" w:eastAsia="Arial Unicode MS" w:hAnsi="Garamond"/>
                <w:color w:val="000000"/>
                <w:kern w:val="0"/>
                <w:sz w:val="22"/>
              </w:rPr>
              <w:t xml:space="preserve"> </w:t>
            </w:r>
            <w:r w:rsidR="004664CE" w:rsidRPr="00EE7169">
              <w:rPr>
                <w:rFonts w:ascii="Garamond" w:eastAsia="Arial Unicode MS" w:hAnsi="Garamond"/>
                <w:color w:val="000000"/>
                <w:kern w:val="0"/>
                <w:sz w:val="22"/>
              </w:rPr>
              <w:t>d</w:t>
            </w:r>
            <w:r w:rsidRPr="00EE7169">
              <w:rPr>
                <w:rFonts w:ascii="Garamond" w:eastAsia="Arial Unicode MS" w:hAnsi="Garamond"/>
                <w:color w:val="000000"/>
                <w:kern w:val="0"/>
                <w:sz w:val="22"/>
              </w:rPr>
              <w:t>ispersion</w:t>
            </w:r>
          </w:p>
        </w:tc>
        <w:tc>
          <w:tcPr>
            <w:tcW w:w="564" w:type="pct"/>
            <w:shd w:val="clear" w:color="auto" w:fill="auto"/>
            <w:noWrap/>
            <w:vAlign w:val="center"/>
          </w:tcPr>
          <w:p w14:paraId="2447A068" w14:textId="7B70BC2F"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60274</w:t>
            </w:r>
          </w:p>
        </w:tc>
        <w:tc>
          <w:tcPr>
            <w:tcW w:w="602" w:type="pct"/>
            <w:shd w:val="clear" w:color="auto" w:fill="auto"/>
            <w:noWrap/>
            <w:vAlign w:val="center"/>
          </w:tcPr>
          <w:p w14:paraId="6AE17F22" w14:textId="2EF03E8D"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1.147</w:t>
            </w:r>
          </w:p>
        </w:tc>
        <w:tc>
          <w:tcPr>
            <w:tcW w:w="526" w:type="pct"/>
            <w:shd w:val="clear" w:color="auto" w:fill="auto"/>
            <w:noWrap/>
            <w:vAlign w:val="center"/>
          </w:tcPr>
          <w:p w14:paraId="67D734E2" w14:textId="519C7B37"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0.174</w:t>
            </w:r>
          </w:p>
        </w:tc>
        <w:tc>
          <w:tcPr>
            <w:tcW w:w="653" w:type="pct"/>
            <w:shd w:val="clear" w:color="auto" w:fill="auto"/>
            <w:noWrap/>
            <w:vAlign w:val="center"/>
          </w:tcPr>
          <w:p w14:paraId="4614B3C5" w14:textId="7B2FDE92"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0.660</w:t>
            </w:r>
          </w:p>
        </w:tc>
        <w:tc>
          <w:tcPr>
            <w:tcW w:w="602" w:type="pct"/>
            <w:shd w:val="clear" w:color="auto" w:fill="auto"/>
            <w:noWrap/>
            <w:vAlign w:val="center"/>
          </w:tcPr>
          <w:p w14:paraId="23415519" w14:textId="767A6EF6" w:rsidR="00FF4D5C" w:rsidRPr="00EE7169" w:rsidRDefault="00FF4D5C" w:rsidP="00900D70">
            <w:pPr>
              <w:widowControl/>
              <w:jc w:val="right"/>
              <w:rPr>
                <w:rFonts w:ascii="Garamond" w:eastAsia="Arial Unicode MS" w:hAnsi="Garamond"/>
                <w:kern w:val="0"/>
                <w:sz w:val="22"/>
              </w:rPr>
            </w:pPr>
            <w:r w:rsidRPr="00EE7169">
              <w:rPr>
                <w:rFonts w:ascii="Garamond" w:hAnsi="Garamond"/>
                <w:color w:val="000000"/>
                <w:sz w:val="22"/>
              </w:rPr>
              <w:t>2.068</w:t>
            </w:r>
          </w:p>
        </w:tc>
      </w:tr>
    </w:tbl>
    <w:p w14:paraId="7F7FB946" w14:textId="11E3FFA7" w:rsidR="004D221A" w:rsidRPr="00EE7169" w:rsidRDefault="004D221A" w:rsidP="00AF15CE">
      <w:pPr>
        <w:jc w:val="center"/>
        <w:rPr>
          <w:rFonts w:ascii="Garamond" w:hAnsi="Garamond"/>
          <w:b/>
          <w:sz w:val="24"/>
        </w:rPr>
      </w:pPr>
      <w:r w:rsidRPr="00EE7169">
        <w:rPr>
          <w:rFonts w:ascii="Garamond" w:hAnsi="Garamond"/>
          <w:b/>
          <w:sz w:val="24"/>
        </w:rPr>
        <w:t>Table 1 Summary Statistics</w:t>
      </w:r>
    </w:p>
    <w:p w14:paraId="4497F2C3" w14:textId="77777777" w:rsidR="004D221A" w:rsidRPr="00EE7169" w:rsidRDefault="004D221A" w:rsidP="00AF15CE">
      <w:pPr>
        <w:jc w:val="center"/>
        <w:rPr>
          <w:rFonts w:ascii="Garamond" w:hAnsi="Garamond"/>
        </w:rPr>
      </w:pPr>
      <w:r w:rsidRPr="00EE7169">
        <w:rPr>
          <w:rFonts w:ascii="Garamond" w:hAnsi="Garamond"/>
        </w:rPr>
        <w:t>For the definitions of all variables, please see Appendix Table A.</w:t>
      </w:r>
    </w:p>
    <w:p w14:paraId="6D2EFA6C" w14:textId="77777777" w:rsidR="004D221A" w:rsidRPr="00EE7169" w:rsidRDefault="004D221A" w:rsidP="00585786">
      <w:pPr>
        <w:widowControl/>
        <w:jc w:val="center"/>
        <w:rPr>
          <w:rFonts w:ascii="Garamond" w:hAnsi="Garamond"/>
          <w:b/>
          <w:kern w:val="0"/>
          <w:sz w:val="24"/>
          <w:szCs w:val="24"/>
        </w:rPr>
      </w:pPr>
    </w:p>
    <w:p w14:paraId="60648D0D" w14:textId="77777777" w:rsidR="00041B5A" w:rsidRPr="00EE7169" w:rsidRDefault="00041B5A" w:rsidP="00585786">
      <w:pPr>
        <w:widowControl/>
        <w:jc w:val="center"/>
        <w:rPr>
          <w:rFonts w:ascii="Garamond" w:hAnsi="Garamond"/>
          <w:b/>
          <w:kern w:val="0"/>
          <w:sz w:val="24"/>
          <w:szCs w:val="24"/>
        </w:rPr>
      </w:pPr>
    </w:p>
    <w:p w14:paraId="432630D5" w14:textId="77777777" w:rsidR="00041B5A" w:rsidRPr="00EE7169" w:rsidRDefault="00041B5A">
      <w:pPr>
        <w:widowControl/>
        <w:jc w:val="left"/>
        <w:rPr>
          <w:rFonts w:ascii="Garamond" w:hAnsi="Garamond"/>
          <w:b/>
          <w:kern w:val="0"/>
          <w:sz w:val="24"/>
          <w:szCs w:val="24"/>
        </w:rPr>
      </w:pPr>
      <w:r w:rsidRPr="00EE7169">
        <w:rPr>
          <w:rFonts w:ascii="Garamond" w:hAnsi="Garamond"/>
          <w:b/>
          <w:kern w:val="0"/>
          <w:sz w:val="24"/>
          <w:szCs w:val="24"/>
        </w:rPr>
        <w:br w:type="page"/>
      </w:r>
    </w:p>
    <w:p w14:paraId="10B5E0B6" w14:textId="06C298FE" w:rsidR="00A15AF5" w:rsidRPr="00EE7169" w:rsidRDefault="00521C8E" w:rsidP="00585786">
      <w:pPr>
        <w:widowControl/>
        <w:jc w:val="center"/>
        <w:rPr>
          <w:rFonts w:ascii="Garamond" w:hAnsi="Garamond"/>
          <w:b/>
          <w:kern w:val="0"/>
          <w:sz w:val="24"/>
          <w:szCs w:val="24"/>
        </w:rPr>
      </w:pPr>
      <w:r w:rsidRPr="00EE7169">
        <w:rPr>
          <w:rFonts w:ascii="Garamond" w:hAnsi="Garamond"/>
          <w:b/>
          <w:kern w:val="0"/>
          <w:sz w:val="24"/>
          <w:szCs w:val="24"/>
        </w:rPr>
        <w:lastRenderedPageBreak/>
        <w:t>T</w:t>
      </w:r>
      <w:r w:rsidR="00CB7695" w:rsidRPr="00EE7169">
        <w:rPr>
          <w:rFonts w:ascii="Garamond" w:hAnsi="Garamond"/>
          <w:b/>
          <w:kern w:val="0"/>
          <w:sz w:val="24"/>
          <w:szCs w:val="24"/>
        </w:rPr>
        <w:t xml:space="preserve">able </w:t>
      </w:r>
      <w:r w:rsidR="004D221A" w:rsidRPr="00EE7169">
        <w:rPr>
          <w:rFonts w:ascii="Garamond" w:hAnsi="Garamond"/>
          <w:b/>
          <w:kern w:val="0"/>
          <w:sz w:val="24"/>
          <w:szCs w:val="24"/>
        </w:rPr>
        <w:t>2</w:t>
      </w:r>
      <w:r w:rsidR="000F6798" w:rsidRPr="00EE7169">
        <w:rPr>
          <w:rFonts w:ascii="Garamond" w:hAnsi="Garamond"/>
          <w:b/>
          <w:kern w:val="0"/>
          <w:sz w:val="24"/>
          <w:szCs w:val="24"/>
        </w:rPr>
        <w:t>.</w:t>
      </w:r>
      <w:r w:rsidR="00F26D08" w:rsidRPr="00EE7169">
        <w:rPr>
          <w:rFonts w:ascii="Garamond" w:hAnsi="Garamond"/>
          <w:b/>
          <w:kern w:val="0"/>
          <w:sz w:val="24"/>
          <w:szCs w:val="24"/>
        </w:rPr>
        <w:t xml:space="preserve"> </w:t>
      </w:r>
      <w:r w:rsidR="004664CE" w:rsidRPr="00EE7169">
        <w:rPr>
          <w:rFonts w:ascii="Garamond" w:hAnsi="Garamond"/>
          <w:b/>
          <w:kern w:val="0"/>
          <w:sz w:val="24"/>
          <w:szCs w:val="24"/>
        </w:rPr>
        <w:t>Summary Statistics: d</w:t>
      </w:r>
      <w:r w:rsidR="009E1502" w:rsidRPr="00EE7169">
        <w:rPr>
          <w:rFonts w:ascii="Garamond" w:hAnsi="Garamond"/>
          <w:b/>
          <w:kern w:val="0"/>
          <w:sz w:val="24"/>
          <w:szCs w:val="24"/>
        </w:rPr>
        <w:t>ecentralized</w:t>
      </w:r>
      <w:r w:rsidR="00132172" w:rsidRPr="00EE7169">
        <w:rPr>
          <w:rFonts w:ascii="Garamond" w:hAnsi="Garamond"/>
          <w:b/>
          <w:kern w:val="0"/>
          <w:sz w:val="24"/>
          <w:szCs w:val="24"/>
        </w:rPr>
        <w:t xml:space="preserve"> </w:t>
      </w:r>
      <w:r w:rsidR="00245D7C" w:rsidRPr="00EE7169">
        <w:rPr>
          <w:rFonts w:ascii="Garamond" w:hAnsi="Garamond"/>
          <w:b/>
          <w:kern w:val="0"/>
          <w:sz w:val="24"/>
          <w:szCs w:val="24"/>
        </w:rPr>
        <w:t>VS.</w:t>
      </w:r>
      <w:r w:rsidR="00132172" w:rsidRPr="00EE7169">
        <w:rPr>
          <w:rFonts w:ascii="Garamond" w:hAnsi="Garamond"/>
          <w:b/>
          <w:kern w:val="0"/>
          <w:sz w:val="24"/>
          <w:szCs w:val="24"/>
        </w:rPr>
        <w:t xml:space="preserve"> NOT decentralized</w:t>
      </w:r>
    </w:p>
    <w:tbl>
      <w:tblPr>
        <w:tblW w:w="4960" w:type="pct"/>
        <w:jc w:val="center"/>
        <w:tblBorders>
          <w:top w:val="single" w:sz="4" w:space="0" w:color="auto"/>
          <w:bottom w:val="single" w:sz="4" w:space="0" w:color="auto"/>
        </w:tblBorders>
        <w:tblLook w:val="0000" w:firstRow="0" w:lastRow="0" w:firstColumn="0" w:lastColumn="0" w:noHBand="0" w:noVBand="0"/>
      </w:tblPr>
      <w:tblGrid>
        <w:gridCol w:w="3272"/>
        <w:gridCol w:w="2162"/>
        <w:gridCol w:w="2098"/>
        <w:gridCol w:w="1753"/>
      </w:tblGrid>
      <w:tr w:rsidR="009E1502" w:rsidRPr="00EE7169" w14:paraId="0A6CA0A7" w14:textId="77777777" w:rsidTr="004664CE">
        <w:trPr>
          <w:trHeight w:val="293"/>
          <w:jc w:val="center"/>
        </w:trPr>
        <w:tc>
          <w:tcPr>
            <w:tcW w:w="1762" w:type="pct"/>
            <w:vMerge w:val="restart"/>
            <w:tcBorders>
              <w:top w:val="single" w:sz="4" w:space="0" w:color="auto"/>
            </w:tcBorders>
          </w:tcPr>
          <w:p w14:paraId="642DE1D5" w14:textId="77777777" w:rsidR="009E1502" w:rsidRPr="00EE7169" w:rsidRDefault="009E1502" w:rsidP="00A15AF5">
            <w:pPr>
              <w:autoSpaceDE w:val="0"/>
              <w:autoSpaceDN w:val="0"/>
              <w:adjustRightInd w:val="0"/>
              <w:jc w:val="center"/>
              <w:rPr>
                <w:rFonts w:ascii="Garamond" w:hAnsi="Garamond"/>
                <w:kern w:val="0"/>
                <w:sz w:val="22"/>
              </w:rPr>
            </w:pPr>
          </w:p>
        </w:tc>
        <w:tc>
          <w:tcPr>
            <w:tcW w:w="1164" w:type="pct"/>
            <w:tcBorders>
              <w:top w:val="single" w:sz="4" w:space="0" w:color="auto"/>
              <w:bottom w:val="single" w:sz="4" w:space="0" w:color="auto"/>
            </w:tcBorders>
          </w:tcPr>
          <w:p w14:paraId="4F3D8BCF" w14:textId="6926C7A2" w:rsidR="009E1502" w:rsidRPr="00EE7169" w:rsidRDefault="009E1502" w:rsidP="004664CE">
            <w:pPr>
              <w:autoSpaceDE w:val="0"/>
              <w:autoSpaceDN w:val="0"/>
              <w:adjustRightInd w:val="0"/>
              <w:jc w:val="center"/>
              <w:rPr>
                <w:rFonts w:ascii="Garamond" w:hAnsi="Garamond"/>
                <w:kern w:val="0"/>
                <w:sz w:val="22"/>
              </w:rPr>
            </w:pPr>
            <w:r w:rsidRPr="00EE7169">
              <w:rPr>
                <w:rFonts w:ascii="Garamond" w:hAnsi="Garamond"/>
                <w:kern w:val="0"/>
                <w:sz w:val="22"/>
              </w:rPr>
              <w:t>SOEs decentralized during 1999-2007</w:t>
            </w:r>
          </w:p>
        </w:tc>
        <w:tc>
          <w:tcPr>
            <w:tcW w:w="1130" w:type="pct"/>
            <w:tcBorders>
              <w:top w:val="single" w:sz="4" w:space="0" w:color="auto"/>
              <w:bottom w:val="single" w:sz="4" w:space="0" w:color="auto"/>
            </w:tcBorders>
          </w:tcPr>
          <w:p w14:paraId="07295F77" w14:textId="0FC57BE1" w:rsidR="009E1502" w:rsidRPr="00EE7169" w:rsidRDefault="009E1502" w:rsidP="004664CE">
            <w:pPr>
              <w:autoSpaceDE w:val="0"/>
              <w:autoSpaceDN w:val="0"/>
              <w:adjustRightInd w:val="0"/>
              <w:jc w:val="center"/>
              <w:rPr>
                <w:rFonts w:ascii="Garamond" w:hAnsi="Garamond"/>
                <w:kern w:val="0"/>
                <w:sz w:val="22"/>
              </w:rPr>
            </w:pPr>
            <w:r w:rsidRPr="00EE7169">
              <w:rPr>
                <w:rFonts w:ascii="Garamond" w:hAnsi="Garamond"/>
                <w:kern w:val="0"/>
                <w:sz w:val="22"/>
              </w:rPr>
              <w:t>SOEs NOT decentralized during 1999-2007</w:t>
            </w:r>
          </w:p>
        </w:tc>
        <w:tc>
          <w:tcPr>
            <w:tcW w:w="944" w:type="pct"/>
            <w:tcBorders>
              <w:top w:val="single" w:sz="4" w:space="0" w:color="auto"/>
              <w:bottom w:val="single" w:sz="4" w:space="0" w:color="auto"/>
            </w:tcBorders>
          </w:tcPr>
          <w:p w14:paraId="594014D9" w14:textId="77777777" w:rsidR="009E1502" w:rsidRPr="00EE7169" w:rsidRDefault="00132172" w:rsidP="004664CE">
            <w:pPr>
              <w:autoSpaceDE w:val="0"/>
              <w:autoSpaceDN w:val="0"/>
              <w:adjustRightInd w:val="0"/>
              <w:jc w:val="center"/>
              <w:rPr>
                <w:rFonts w:ascii="Garamond" w:hAnsi="Garamond"/>
                <w:kern w:val="0"/>
                <w:sz w:val="22"/>
              </w:rPr>
            </w:pPr>
            <w:r w:rsidRPr="00EE7169">
              <w:rPr>
                <w:rFonts w:ascii="Garamond" w:hAnsi="Garamond"/>
                <w:kern w:val="0"/>
                <w:sz w:val="22"/>
              </w:rPr>
              <w:t>t-statistic of mean d</w:t>
            </w:r>
            <w:r w:rsidR="009E1502" w:rsidRPr="00EE7169">
              <w:rPr>
                <w:rFonts w:ascii="Garamond" w:hAnsi="Garamond"/>
                <w:kern w:val="0"/>
                <w:sz w:val="22"/>
              </w:rPr>
              <w:t>ifference</w:t>
            </w:r>
            <w:r w:rsidRPr="00EE7169">
              <w:rPr>
                <w:rFonts w:ascii="Garamond" w:hAnsi="Garamond"/>
                <w:kern w:val="0"/>
                <w:sz w:val="22"/>
              </w:rPr>
              <w:t xml:space="preserve"> test</w:t>
            </w:r>
          </w:p>
        </w:tc>
      </w:tr>
      <w:tr w:rsidR="009E1502" w:rsidRPr="00EE7169" w14:paraId="6583CFC3" w14:textId="77777777" w:rsidTr="004664CE">
        <w:trPr>
          <w:trHeight w:val="293"/>
          <w:jc w:val="center"/>
        </w:trPr>
        <w:tc>
          <w:tcPr>
            <w:tcW w:w="1762" w:type="pct"/>
            <w:vMerge/>
            <w:tcBorders>
              <w:bottom w:val="single" w:sz="4" w:space="0" w:color="auto"/>
            </w:tcBorders>
          </w:tcPr>
          <w:p w14:paraId="045BD5A7" w14:textId="77777777" w:rsidR="009E1502" w:rsidRPr="00EE7169" w:rsidRDefault="009E1502" w:rsidP="00A15AF5">
            <w:pPr>
              <w:autoSpaceDE w:val="0"/>
              <w:autoSpaceDN w:val="0"/>
              <w:adjustRightInd w:val="0"/>
              <w:jc w:val="center"/>
              <w:rPr>
                <w:rFonts w:ascii="Garamond" w:hAnsi="Garamond"/>
                <w:kern w:val="0"/>
                <w:sz w:val="22"/>
              </w:rPr>
            </w:pPr>
          </w:p>
        </w:tc>
        <w:tc>
          <w:tcPr>
            <w:tcW w:w="1164" w:type="pct"/>
            <w:tcBorders>
              <w:top w:val="single" w:sz="4" w:space="0" w:color="auto"/>
              <w:bottom w:val="single" w:sz="4" w:space="0" w:color="auto"/>
            </w:tcBorders>
          </w:tcPr>
          <w:p w14:paraId="522016DF" w14:textId="77777777" w:rsidR="009E1502" w:rsidRPr="00EE7169" w:rsidRDefault="00132172" w:rsidP="004664CE">
            <w:pPr>
              <w:autoSpaceDE w:val="0"/>
              <w:autoSpaceDN w:val="0"/>
              <w:adjustRightInd w:val="0"/>
              <w:jc w:val="center"/>
              <w:rPr>
                <w:rFonts w:ascii="Garamond" w:hAnsi="Garamond"/>
                <w:kern w:val="0"/>
                <w:sz w:val="22"/>
              </w:rPr>
            </w:pPr>
            <w:r w:rsidRPr="00EE7169">
              <w:rPr>
                <w:rFonts w:ascii="Garamond" w:hAnsi="Garamond"/>
                <w:kern w:val="0"/>
                <w:sz w:val="22"/>
              </w:rPr>
              <w:t>(</w:t>
            </w:r>
            <w:r w:rsidR="009E1502" w:rsidRPr="00EE7169">
              <w:rPr>
                <w:rFonts w:ascii="Garamond" w:hAnsi="Garamond"/>
                <w:kern w:val="0"/>
                <w:sz w:val="22"/>
              </w:rPr>
              <w:t>1</w:t>
            </w:r>
            <w:r w:rsidRPr="00EE7169">
              <w:rPr>
                <w:rFonts w:ascii="Garamond" w:hAnsi="Garamond"/>
                <w:kern w:val="0"/>
                <w:sz w:val="22"/>
              </w:rPr>
              <w:t>)</w:t>
            </w:r>
          </w:p>
        </w:tc>
        <w:tc>
          <w:tcPr>
            <w:tcW w:w="1130" w:type="pct"/>
            <w:tcBorders>
              <w:top w:val="single" w:sz="4" w:space="0" w:color="auto"/>
              <w:bottom w:val="single" w:sz="4" w:space="0" w:color="auto"/>
            </w:tcBorders>
          </w:tcPr>
          <w:p w14:paraId="341A537C" w14:textId="77777777" w:rsidR="009E1502" w:rsidRPr="00EE7169" w:rsidRDefault="00132172" w:rsidP="004664CE">
            <w:pPr>
              <w:autoSpaceDE w:val="0"/>
              <w:autoSpaceDN w:val="0"/>
              <w:adjustRightInd w:val="0"/>
              <w:jc w:val="center"/>
              <w:rPr>
                <w:rFonts w:ascii="Garamond" w:hAnsi="Garamond"/>
                <w:kern w:val="0"/>
                <w:sz w:val="22"/>
              </w:rPr>
            </w:pPr>
            <w:r w:rsidRPr="00EE7169">
              <w:rPr>
                <w:rFonts w:ascii="Garamond" w:hAnsi="Garamond"/>
                <w:kern w:val="0"/>
                <w:sz w:val="22"/>
              </w:rPr>
              <w:t>(</w:t>
            </w:r>
            <w:r w:rsidR="009E1502" w:rsidRPr="00EE7169">
              <w:rPr>
                <w:rFonts w:ascii="Garamond" w:hAnsi="Garamond"/>
                <w:kern w:val="0"/>
                <w:sz w:val="22"/>
              </w:rPr>
              <w:t>2</w:t>
            </w:r>
            <w:r w:rsidRPr="00EE7169">
              <w:rPr>
                <w:rFonts w:ascii="Garamond" w:hAnsi="Garamond"/>
                <w:kern w:val="0"/>
                <w:sz w:val="22"/>
              </w:rPr>
              <w:t>)</w:t>
            </w:r>
          </w:p>
        </w:tc>
        <w:tc>
          <w:tcPr>
            <w:tcW w:w="944" w:type="pct"/>
            <w:tcBorders>
              <w:top w:val="single" w:sz="4" w:space="0" w:color="auto"/>
              <w:bottom w:val="single" w:sz="4" w:space="0" w:color="auto"/>
            </w:tcBorders>
          </w:tcPr>
          <w:p w14:paraId="71019A27" w14:textId="77777777" w:rsidR="009E1502" w:rsidRPr="00EE7169" w:rsidRDefault="00132172" w:rsidP="004664CE">
            <w:pPr>
              <w:autoSpaceDE w:val="0"/>
              <w:autoSpaceDN w:val="0"/>
              <w:adjustRightInd w:val="0"/>
              <w:jc w:val="center"/>
              <w:rPr>
                <w:rFonts w:ascii="Garamond" w:hAnsi="Garamond"/>
                <w:kern w:val="0"/>
                <w:sz w:val="22"/>
              </w:rPr>
            </w:pPr>
            <w:r w:rsidRPr="00EE7169">
              <w:rPr>
                <w:rFonts w:ascii="Garamond" w:hAnsi="Garamond"/>
                <w:kern w:val="0"/>
                <w:sz w:val="22"/>
              </w:rPr>
              <w:t>(</w:t>
            </w:r>
            <w:r w:rsidR="009E1502" w:rsidRPr="00EE7169">
              <w:rPr>
                <w:rFonts w:ascii="Garamond" w:hAnsi="Garamond"/>
                <w:kern w:val="0"/>
                <w:sz w:val="22"/>
              </w:rPr>
              <w:t>3</w:t>
            </w:r>
            <w:r w:rsidRPr="00EE7169">
              <w:rPr>
                <w:rFonts w:ascii="Garamond" w:hAnsi="Garamond"/>
                <w:kern w:val="0"/>
                <w:sz w:val="22"/>
              </w:rPr>
              <w:t>)</w:t>
            </w:r>
          </w:p>
        </w:tc>
      </w:tr>
      <w:tr w:rsidR="00A15AF5" w:rsidRPr="00EE7169" w14:paraId="2FF1BB96" w14:textId="77777777" w:rsidTr="004664CE">
        <w:trPr>
          <w:trHeight w:val="293"/>
          <w:jc w:val="center"/>
        </w:trPr>
        <w:tc>
          <w:tcPr>
            <w:tcW w:w="1762" w:type="pct"/>
          </w:tcPr>
          <w:p w14:paraId="0CC666F3" w14:textId="52AF58F3" w:rsidR="00A15AF5" w:rsidRPr="00EE7169" w:rsidRDefault="00330CDC" w:rsidP="004664CE">
            <w:pPr>
              <w:autoSpaceDE w:val="0"/>
              <w:autoSpaceDN w:val="0"/>
              <w:adjustRightInd w:val="0"/>
              <w:jc w:val="left"/>
              <w:rPr>
                <w:rFonts w:ascii="Garamond" w:hAnsi="Garamond"/>
                <w:kern w:val="0"/>
                <w:sz w:val="22"/>
              </w:rPr>
            </w:pPr>
            <w:r w:rsidRPr="00EE7169">
              <w:rPr>
                <w:rFonts w:ascii="Garamond" w:hAnsi="Garamond"/>
                <w:kern w:val="0"/>
                <w:sz w:val="22"/>
              </w:rPr>
              <w:t>D</w:t>
            </w:r>
            <w:r w:rsidR="004664CE" w:rsidRPr="00EE7169">
              <w:rPr>
                <w:rFonts w:ascii="Garamond" w:hAnsi="Garamond"/>
                <w:kern w:val="0"/>
                <w:sz w:val="22"/>
              </w:rPr>
              <w:t>ifferent city</w:t>
            </w:r>
            <w:r w:rsidR="004664CE" w:rsidRPr="00EE7169">
              <w:rPr>
                <w:rFonts w:ascii="Garamond" w:hAnsi="Garamond"/>
                <w:kern w:val="0"/>
                <w:sz w:val="18"/>
                <w:szCs w:val="18"/>
                <w:vertAlign w:val="subscript"/>
              </w:rPr>
              <w:t xml:space="preserve"> (t-1)</w:t>
            </w:r>
          </w:p>
        </w:tc>
        <w:tc>
          <w:tcPr>
            <w:tcW w:w="1164" w:type="pct"/>
            <w:vAlign w:val="center"/>
          </w:tcPr>
          <w:p w14:paraId="32683C77" w14:textId="77777777" w:rsidR="00A15AF5" w:rsidRPr="00EE7169" w:rsidRDefault="00330CDC" w:rsidP="004664CE">
            <w:pPr>
              <w:widowControl/>
              <w:jc w:val="center"/>
              <w:rPr>
                <w:rFonts w:ascii="Garamond" w:hAnsi="Garamond"/>
                <w:kern w:val="0"/>
                <w:sz w:val="22"/>
              </w:rPr>
            </w:pPr>
            <w:r w:rsidRPr="00EE7169">
              <w:rPr>
                <w:rFonts w:ascii="Garamond" w:hAnsi="Garamond"/>
                <w:kern w:val="0"/>
                <w:sz w:val="22"/>
              </w:rPr>
              <w:t>0.</w:t>
            </w:r>
            <w:r w:rsidR="00A651CA" w:rsidRPr="00EE7169">
              <w:rPr>
                <w:rFonts w:ascii="Garamond" w:hAnsi="Garamond"/>
                <w:kern w:val="0"/>
                <w:sz w:val="22"/>
              </w:rPr>
              <w:t>593</w:t>
            </w:r>
          </w:p>
        </w:tc>
        <w:tc>
          <w:tcPr>
            <w:tcW w:w="1130" w:type="pct"/>
            <w:vAlign w:val="center"/>
          </w:tcPr>
          <w:p w14:paraId="63E45FF2" w14:textId="77777777" w:rsidR="00A15AF5" w:rsidRPr="00EE7169" w:rsidRDefault="00A651CA" w:rsidP="004664CE">
            <w:pPr>
              <w:widowControl/>
              <w:jc w:val="center"/>
              <w:rPr>
                <w:rFonts w:ascii="Garamond" w:hAnsi="Garamond"/>
                <w:kern w:val="0"/>
                <w:sz w:val="22"/>
              </w:rPr>
            </w:pPr>
            <w:r w:rsidRPr="00EE7169">
              <w:rPr>
                <w:rFonts w:ascii="Garamond" w:hAnsi="Garamond"/>
                <w:kern w:val="0"/>
                <w:sz w:val="22"/>
              </w:rPr>
              <w:t>0.299</w:t>
            </w:r>
          </w:p>
        </w:tc>
        <w:tc>
          <w:tcPr>
            <w:tcW w:w="944" w:type="pct"/>
            <w:vAlign w:val="center"/>
          </w:tcPr>
          <w:p w14:paraId="4B41A207" w14:textId="77777777" w:rsidR="00A15AF5" w:rsidRPr="00EE7169" w:rsidRDefault="00A651CA" w:rsidP="004664CE">
            <w:pPr>
              <w:widowControl/>
              <w:jc w:val="center"/>
              <w:rPr>
                <w:rFonts w:ascii="Garamond" w:hAnsi="Garamond"/>
                <w:kern w:val="0"/>
                <w:sz w:val="22"/>
              </w:rPr>
            </w:pPr>
            <w:r w:rsidRPr="00EE7169">
              <w:rPr>
                <w:rFonts w:ascii="Garamond" w:hAnsi="Garamond"/>
                <w:kern w:val="0"/>
                <w:sz w:val="22"/>
              </w:rPr>
              <w:t>0.2</w:t>
            </w:r>
            <w:r w:rsidR="00330CDC" w:rsidRPr="00EE7169">
              <w:rPr>
                <w:rFonts w:ascii="Garamond" w:hAnsi="Garamond"/>
                <w:kern w:val="0"/>
                <w:sz w:val="22"/>
              </w:rPr>
              <w:t>9</w:t>
            </w:r>
            <w:r w:rsidRPr="00EE7169">
              <w:rPr>
                <w:rFonts w:ascii="Garamond" w:hAnsi="Garamond"/>
                <w:kern w:val="0"/>
                <w:sz w:val="22"/>
              </w:rPr>
              <w:t>4</w:t>
            </w:r>
            <w:r w:rsidR="00330CDC" w:rsidRPr="00EE7169">
              <w:rPr>
                <w:rFonts w:ascii="Garamond" w:hAnsi="Garamond"/>
                <w:kern w:val="0"/>
                <w:sz w:val="22"/>
              </w:rPr>
              <w:t>***</w:t>
            </w:r>
          </w:p>
        </w:tc>
      </w:tr>
      <w:tr w:rsidR="00330CDC" w:rsidRPr="00EE7169" w14:paraId="547E4DCB" w14:textId="77777777" w:rsidTr="004664CE">
        <w:trPr>
          <w:trHeight w:val="293"/>
          <w:jc w:val="center"/>
        </w:trPr>
        <w:tc>
          <w:tcPr>
            <w:tcW w:w="1762" w:type="pct"/>
          </w:tcPr>
          <w:p w14:paraId="67B6498C" w14:textId="2BF433BA" w:rsidR="00330CDC" w:rsidRPr="00EE7169" w:rsidRDefault="00613685" w:rsidP="00467F36">
            <w:pPr>
              <w:autoSpaceDE w:val="0"/>
              <w:autoSpaceDN w:val="0"/>
              <w:adjustRightInd w:val="0"/>
              <w:jc w:val="left"/>
              <w:rPr>
                <w:rFonts w:ascii="Garamond" w:hAnsi="Garamond"/>
                <w:kern w:val="0"/>
                <w:sz w:val="22"/>
              </w:rPr>
            </w:pPr>
            <w:r w:rsidRPr="00EE7169">
              <w:rPr>
                <w:rFonts w:ascii="Garamond" w:hAnsi="Garamond"/>
                <w:kern w:val="0"/>
                <w:sz w:val="22"/>
              </w:rPr>
              <w:t>Distance</w:t>
            </w:r>
            <w:r w:rsidR="004664CE" w:rsidRPr="00EE7169">
              <w:rPr>
                <w:rFonts w:ascii="Garamond" w:hAnsi="Garamond"/>
                <w:kern w:val="0"/>
                <w:sz w:val="18"/>
                <w:szCs w:val="18"/>
                <w:vertAlign w:val="subscript"/>
              </w:rPr>
              <w:t xml:space="preserve"> (t-1)</w:t>
            </w:r>
          </w:p>
        </w:tc>
        <w:tc>
          <w:tcPr>
            <w:tcW w:w="1164" w:type="pct"/>
            <w:vAlign w:val="center"/>
          </w:tcPr>
          <w:p w14:paraId="57307AD1" w14:textId="77777777" w:rsidR="00330CDC" w:rsidRPr="00EE7169" w:rsidRDefault="00A651CA" w:rsidP="004664CE">
            <w:pPr>
              <w:widowControl/>
              <w:jc w:val="center"/>
              <w:rPr>
                <w:rFonts w:ascii="Garamond" w:hAnsi="Garamond"/>
                <w:kern w:val="0"/>
                <w:sz w:val="22"/>
              </w:rPr>
            </w:pPr>
            <w:r w:rsidRPr="00EE7169">
              <w:rPr>
                <w:rFonts w:ascii="Garamond" w:hAnsi="Garamond"/>
                <w:kern w:val="0"/>
                <w:sz w:val="22"/>
              </w:rPr>
              <w:t>4.415</w:t>
            </w:r>
          </w:p>
        </w:tc>
        <w:tc>
          <w:tcPr>
            <w:tcW w:w="1130" w:type="pct"/>
            <w:vAlign w:val="center"/>
          </w:tcPr>
          <w:p w14:paraId="79E48089" w14:textId="77777777" w:rsidR="00330CDC" w:rsidRPr="00EE7169" w:rsidRDefault="00A651CA" w:rsidP="004664CE">
            <w:pPr>
              <w:widowControl/>
              <w:jc w:val="center"/>
              <w:rPr>
                <w:rFonts w:ascii="Garamond" w:hAnsi="Garamond"/>
                <w:kern w:val="0"/>
                <w:sz w:val="22"/>
              </w:rPr>
            </w:pPr>
            <w:r w:rsidRPr="00EE7169">
              <w:rPr>
                <w:rFonts w:ascii="Garamond" w:hAnsi="Garamond"/>
                <w:kern w:val="0"/>
                <w:sz w:val="22"/>
              </w:rPr>
              <w:t>2.957</w:t>
            </w:r>
          </w:p>
        </w:tc>
        <w:tc>
          <w:tcPr>
            <w:tcW w:w="944" w:type="pct"/>
            <w:vAlign w:val="center"/>
          </w:tcPr>
          <w:p w14:paraId="4E23F517" w14:textId="77777777" w:rsidR="00330CDC" w:rsidRPr="00EE7169" w:rsidRDefault="00A651CA" w:rsidP="004664CE">
            <w:pPr>
              <w:widowControl/>
              <w:jc w:val="center"/>
              <w:rPr>
                <w:rFonts w:ascii="Garamond" w:hAnsi="Garamond"/>
                <w:kern w:val="0"/>
                <w:sz w:val="22"/>
              </w:rPr>
            </w:pPr>
            <w:r w:rsidRPr="00EE7169">
              <w:rPr>
                <w:rFonts w:ascii="Garamond" w:hAnsi="Garamond"/>
                <w:kern w:val="0"/>
                <w:sz w:val="22"/>
              </w:rPr>
              <w:t>1.457</w:t>
            </w:r>
            <w:r w:rsidR="00330CDC" w:rsidRPr="00EE7169">
              <w:rPr>
                <w:rFonts w:ascii="Garamond" w:hAnsi="Garamond"/>
                <w:kern w:val="0"/>
                <w:sz w:val="22"/>
              </w:rPr>
              <w:t>***</w:t>
            </w:r>
          </w:p>
        </w:tc>
      </w:tr>
      <w:tr w:rsidR="00A651CA" w:rsidRPr="00EE7169" w14:paraId="44283B8C" w14:textId="77777777" w:rsidTr="004664CE">
        <w:trPr>
          <w:trHeight w:val="293"/>
          <w:jc w:val="center"/>
        </w:trPr>
        <w:tc>
          <w:tcPr>
            <w:tcW w:w="1762" w:type="pct"/>
          </w:tcPr>
          <w:p w14:paraId="0C7B47CE" w14:textId="5A8D92AC" w:rsidR="00A651CA" w:rsidRPr="00EE7169" w:rsidRDefault="00A651CA" w:rsidP="004664CE">
            <w:pPr>
              <w:autoSpaceDE w:val="0"/>
              <w:autoSpaceDN w:val="0"/>
              <w:adjustRightInd w:val="0"/>
              <w:jc w:val="left"/>
              <w:rPr>
                <w:rFonts w:ascii="Garamond" w:hAnsi="Garamond"/>
                <w:kern w:val="0"/>
                <w:sz w:val="22"/>
              </w:rPr>
            </w:pPr>
            <w:r w:rsidRPr="00EE7169">
              <w:rPr>
                <w:rFonts w:ascii="Garamond" w:hAnsi="Garamond"/>
                <w:kern w:val="0"/>
                <w:sz w:val="22"/>
              </w:rPr>
              <w:t>Firm asset</w:t>
            </w:r>
            <w:r w:rsidR="004664CE" w:rsidRPr="00EE7169">
              <w:rPr>
                <w:rFonts w:ascii="Garamond" w:hAnsi="Garamond"/>
                <w:kern w:val="0"/>
                <w:sz w:val="18"/>
                <w:szCs w:val="18"/>
                <w:vertAlign w:val="subscript"/>
              </w:rPr>
              <w:t xml:space="preserve"> (t-1)</w:t>
            </w:r>
          </w:p>
        </w:tc>
        <w:tc>
          <w:tcPr>
            <w:tcW w:w="1164" w:type="pct"/>
            <w:vAlign w:val="center"/>
          </w:tcPr>
          <w:p w14:paraId="707E6241" w14:textId="262E1B0A" w:rsidR="00A651CA" w:rsidRPr="00EE7169" w:rsidRDefault="00A651CA" w:rsidP="004664CE">
            <w:pPr>
              <w:widowControl/>
              <w:jc w:val="center"/>
              <w:rPr>
                <w:rFonts w:ascii="Garamond" w:hAnsi="Garamond"/>
                <w:kern w:val="0"/>
                <w:sz w:val="22"/>
              </w:rPr>
            </w:pPr>
            <w:r w:rsidRPr="00EE7169">
              <w:rPr>
                <w:rFonts w:ascii="Garamond" w:hAnsi="Garamond"/>
                <w:kern w:val="0"/>
                <w:sz w:val="22"/>
              </w:rPr>
              <w:t>10.398</w:t>
            </w:r>
          </w:p>
        </w:tc>
        <w:tc>
          <w:tcPr>
            <w:tcW w:w="1130" w:type="pct"/>
            <w:vAlign w:val="center"/>
          </w:tcPr>
          <w:p w14:paraId="3B8C4F33"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10.725</w:t>
            </w:r>
          </w:p>
        </w:tc>
        <w:tc>
          <w:tcPr>
            <w:tcW w:w="944" w:type="pct"/>
            <w:vAlign w:val="center"/>
          </w:tcPr>
          <w:p w14:paraId="10C72D79"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-0.327***</w:t>
            </w:r>
          </w:p>
        </w:tc>
      </w:tr>
      <w:tr w:rsidR="00A651CA" w:rsidRPr="00EE7169" w14:paraId="2C338B84" w14:textId="77777777" w:rsidTr="004664CE">
        <w:trPr>
          <w:trHeight w:val="293"/>
          <w:jc w:val="center"/>
        </w:trPr>
        <w:tc>
          <w:tcPr>
            <w:tcW w:w="1762" w:type="pct"/>
          </w:tcPr>
          <w:p w14:paraId="30541C1E" w14:textId="0440C17B" w:rsidR="00A651CA" w:rsidRPr="00EE7169" w:rsidRDefault="00A651CA" w:rsidP="009E1502">
            <w:pPr>
              <w:widowControl/>
              <w:jc w:val="left"/>
              <w:rPr>
                <w:rFonts w:ascii="Garamond" w:hAnsi="Garamond"/>
                <w:color w:val="000000"/>
                <w:kern w:val="0"/>
                <w:sz w:val="22"/>
              </w:rPr>
            </w:pPr>
            <w:r w:rsidRPr="00EE7169">
              <w:rPr>
                <w:rFonts w:ascii="Garamond" w:hAnsi="Garamond"/>
                <w:color w:val="000000"/>
                <w:kern w:val="0"/>
                <w:sz w:val="22"/>
              </w:rPr>
              <w:t>ROS</w:t>
            </w:r>
            <w:r w:rsidR="004664CE" w:rsidRPr="00EE7169">
              <w:rPr>
                <w:rFonts w:ascii="Garamond" w:hAnsi="Garamond"/>
                <w:kern w:val="0"/>
                <w:sz w:val="18"/>
                <w:szCs w:val="18"/>
                <w:vertAlign w:val="subscript"/>
              </w:rPr>
              <w:t xml:space="preserve"> (t-1)</w:t>
            </w:r>
          </w:p>
        </w:tc>
        <w:tc>
          <w:tcPr>
            <w:tcW w:w="1164" w:type="pct"/>
            <w:vAlign w:val="center"/>
          </w:tcPr>
          <w:p w14:paraId="25C7730E"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-0.108</w:t>
            </w:r>
          </w:p>
        </w:tc>
        <w:tc>
          <w:tcPr>
            <w:tcW w:w="1130" w:type="pct"/>
            <w:vAlign w:val="center"/>
          </w:tcPr>
          <w:p w14:paraId="6F95B6DA"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-0.082</w:t>
            </w:r>
          </w:p>
        </w:tc>
        <w:tc>
          <w:tcPr>
            <w:tcW w:w="944" w:type="pct"/>
            <w:vAlign w:val="center"/>
          </w:tcPr>
          <w:p w14:paraId="5D94B012"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-0.026***</w:t>
            </w:r>
          </w:p>
        </w:tc>
      </w:tr>
      <w:tr w:rsidR="00A651CA" w:rsidRPr="00EE7169" w14:paraId="63FC21E8" w14:textId="77777777" w:rsidTr="004664CE">
        <w:trPr>
          <w:trHeight w:val="293"/>
          <w:jc w:val="center"/>
        </w:trPr>
        <w:tc>
          <w:tcPr>
            <w:tcW w:w="1762" w:type="pct"/>
          </w:tcPr>
          <w:p w14:paraId="507C0CC9" w14:textId="434B3BDD" w:rsidR="00A651CA" w:rsidRPr="00EE7169" w:rsidRDefault="00A651CA" w:rsidP="00A651CA">
            <w:pPr>
              <w:widowControl/>
              <w:tabs>
                <w:tab w:val="center" w:pos="1317"/>
              </w:tabs>
              <w:jc w:val="left"/>
              <w:rPr>
                <w:rFonts w:ascii="Garamond" w:hAnsi="Garamond"/>
                <w:color w:val="000000"/>
                <w:kern w:val="0"/>
                <w:sz w:val="22"/>
              </w:rPr>
            </w:pPr>
            <w:r w:rsidRPr="00EE7169">
              <w:rPr>
                <w:rFonts w:ascii="Garamond" w:hAnsi="Garamond"/>
                <w:color w:val="000000"/>
                <w:kern w:val="0"/>
                <w:sz w:val="22"/>
              </w:rPr>
              <w:t>TFP OLS</w:t>
            </w:r>
            <w:r w:rsidR="004664CE" w:rsidRPr="00EE7169">
              <w:rPr>
                <w:rFonts w:ascii="Garamond" w:hAnsi="Garamond"/>
                <w:kern w:val="0"/>
                <w:sz w:val="18"/>
                <w:szCs w:val="18"/>
                <w:vertAlign w:val="subscript"/>
              </w:rPr>
              <w:t xml:space="preserve"> (t-1)</w:t>
            </w:r>
          </w:p>
        </w:tc>
        <w:tc>
          <w:tcPr>
            <w:tcW w:w="1164" w:type="pct"/>
            <w:vAlign w:val="center"/>
          </w:tcPr>
          <w:p w14:paraId="42035FF3"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0.420</w:t>
            </w:r>
          </w:p>
        </w:tc>
        <w:tc>
          <w:tcPr>
            <w:tcW w:w="1130" w:type="pct"/>
            <w:vAlign w:val="center"/>
          </w:tcPr>
          <w:p w14:paraId="1684BA75"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0.426</w:t>
            </w:r>
          </w:p>
        </w:tc>
        <w:tc>
          <w:tcPr>
            <w:tcW w:w="944" w:type="pct"/>
            <w:vAlign w:val="center"/>
          </w:tcPr>
          <w:p w14:paraId="7CF1D16C"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-0.006</w:t>
            </w:r>
          </w:p>
        </w:tc>
      </w:tr>
      <w:tr w:rsidR="00A651CA" w:rsidRPr="00EE7169" w14:paraId="54C646B4" w14:textId="77777777" w:rsidTr="004664CE">
        <w:trPr>
          <w:trHeight w:val="293"/>
          <w:jc w:val="center"/>
        </w:trPr>
        <w:tc>
          <w:tcPr>
            <w:tcW w:w="1762" w:type="pct"/>
          </w:tcPr>
          <w:p w14:paraId="65A79A75" w14:textId="38445F42" w:rsidR="00A651CA" w:rsidRPr="00EE7169" w:rsidRDefault="00A651CA" w:rsidP="00A651CA">
            <w:pPr>
              <w:widowControl/>
              <w:tabs>
                <w:tab w:val="center" w:pos="1317"/>
              </w:tabs>
              <w:jc w:val="left"/>
              <w:rPr>
                <w:rFonts w:ascii="Garamond" w:hAnsi="Garamond"/>
                <w:color w:val="000000"/>
                <w:kern w:val="0"/>
                <w:sz w:val="22"/>
              </w:rPr>
            </w:pPr>
            <w:r w:rsidRPr="00EE7169">
              <w:rPr>
                <w:rFonts w:ascii="Garamond" w:hAnsi="Garamond"/>
                <w:color w:val="000000"/>
                <w:kern w:val="0"/>
                <w:sz w:val="22"/>
              </w:rPr>
              <w:t>TFP O</w:t>
            </w:r>
            <w:r w:rsidR="008D5801" w:rsidRPr="00EE7169">
              <w:rPr>
                <w:rFonts w:ascii="Garamond" w:hAnsi="Garamond"/>
                <w:color w:val="000000"/>
                <w:kern w:val="0"/>
                <w:sz w:val="22"/>
              </w:rPr>
              <w:t>lley-</w:t>
            </w:r>
            <w:r w:rsidRPr="00EE7169">
              <w:rPr>
                <w:rFonts w:ascii="Garamond" w:hAnsi="Garamond"/>
                <w:color w:val="000000"/>
                <w:kern w:val="0"/>
                <w:sz w:val="22"/>
              </w:rPr>
              <w:t>P</w:t>
            </w:r>
            <w:r w:rsidR="008D5801" w:rsidRPr="00EE7169">
              <w:rPr>
                <w:rFonts w:ascii="Garamond" w:hAnsi="Garamond"/>
                <w:color w:val="000000"/>
                <w:kern w:val="0"/>
                <w:sz w:val="22"/>
              </w:rPr>
              <w:t>akes</w:t>
            </w:r>
            <w:r w:rsidR="004664CE" w:rsidRPr="00EE7169">
              <w:rPr>
                <w:rFonts w:ascii="Garamond" w:hAnsi="Garamond"/>
                <w:kern w:val="0"/>
                <w:sz w:val="18"/>
                <w:szCs w:val="18"/>
                <w:vertAlign w:val="subscript"/>
              </w:rPr>
              <w:t xml:space="preserve"> (t-1)</w:t>
            </w:r>
          </w:p>
        </w:tc>
        <w:tc>
          <w:tcPr>
            <w:tcW w:w="1164" w:type="pct"/>
            <w:vAlign w:val="center"/>
          </w:tcPr>
          <w:p w14:paraId="69DD6221"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1.315</w:t>
            </w:r>
          </w:p>
        </w:tc>
        <w:tc>
          <w:tcPr>
            <w:tcW w:w="1130" w:type="pct"/>
            <w:vAlign w:val="center"/>
          </w:tcPr>
          <w:p w14:paraId="6D0A6DD8"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1.329</w:t>
            </w:r>
          </w:p>
        </w:tc>
        <w:tc>
          <w:tcPr>
            <w:tcW w:w="944" w:type="pct"/>
            <w:vAlign w:val="center"/>
          </w:tcPr>
          <w:p w14:paraId="4424D9DA"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-0.014</w:t>
            </w:r>
          </w:p>
        </w:tc>
      </w:tr>
      <w:tr w:rsidR="00A651CA" w:rsidRPr="00EE7169" w14:paraId="072A7D7B" w14:textId="77777777" w:rsidTr="004664CE">
        <w:trPr>
          <w:trHeight w:val="293"/>
          <w:jc w:val="center"/>
        </w:trPr>
        <w:tc>
          <w:tcPr>
            <w:tcW w:w="1762" w:type="pct"/>
          </w:tcPr>
          <w:p w14:paraId="55933E4E" w14:textId="320735E1" w:rsidR="00A651CA" w:rsidRPr="00EE7169" w:rsidRDefault="00A651CA" w:rsidP="00A651CA">
            <w:pPr>
              <w:widowControl/>
              <w:tabs>
                <w:tab w:val="center" w:pos="1317"/>
              </w:tabs>
              <w:jc w:val="left"/>
              <w:rPr>
                <w:rFonts w:ascii="Garamond" w:hAnsi="Garamond"/>
                <w:color w:val="000000"/>
                <w:kern w:val="0"/>
                <w:sz w:val="22"/>
              </w:rPr>
            </w:pPr>
            <w:r w:rsidRPr="00EE7169">
              <w:rPr>
                <w:rFonts w:ascii="Garamond" w:hAnsi="Garamond"/>
                <w:color w:val="000000"/>
                <w:kern w:val="0"/>
                <w:sz w:val="22"/>
              </w:rPr>
              <w:t>TFP Index Number</w:t>
            </w:r>
            <w:r w:rsidR="004664CE" w:rsidRPr="00EE7169">
              <w:rPr>
                <w:rFonts w:ascii="Garamond" w:hAnsi="Garamond"/>
                <w:kern w:val="0"/>
                <w:sz w:val="18"/>
                <w:szCs w:val="18"/>
                <w:vertAlign w:val="subscript"/>
              </w:rPr>
              <w:t xml:space="preserve"> (t-1)</w:t>
            </w:r>
          </w:p>
        </w:tc>
        <w:tc>
          <w:tcPr>
            <w:tcW w:w="1164" w:type="pct"/>
            <w:vAlign w:val="center"/>
          </w:tcPr>
          <w:p w14:paraId="0CCA2B27"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1.209</w:t>
            </w:r>
          </w:p>
        </w:tc>
        <w:tc>
          <w:tcPr>
            <w:tcW w:w="1130" w:type="pct"/>
            <w:vAlign w:val="center"/>
          </w:tcPr>
          <w:p w14:paraId="42E63176"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1.182</w:t>
            </w:r>
          </w:p>
        </w:tc>
        <w:tc>
          <w:tcPr>
            <w:tcW w:w="944" w:type="pct"/>
            <w:vAlign w:val="center"/>
          </w:tcPr>
          <w:p w14:paraId="140461D9"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0.027</w:t>
            </w:r>
          </w:p>
        </w:tc>
      </w:tr>
      <w:tr w:rsidR="00A651CA" w:rsidRPr="00EE7169" w14:paraId="4C0D0FF1" w14:textId="77777777" w:rsidTr="004664CE">
        <w:trPr>
          <w:trHeight w:val="293"/>
          <w:jc w:val="center"/>
        </w:trPr>
        <w:tc>
          <w:tcPr>
            <w:tcW w:w="1762" w:type="pct"/>
          </w:tcPr>
          <w:p w14:paraId="041C7B47" w14:textId="59AAB67A" w:rsidR="00A651CA" w:rsidRPr="00EE7169" w:rsidRDefault="00A651CA" w:rsidP="009E1502">
            <w:pPr>
              <w:widowControl/>
              <w:jc w:val="left"/>
              <w:rPr>
                <w:rFonts w:ascii="Garamond" w:hAnsi="Garamond"/>
                <w:color w:val="000000"/>
                <w:kern w:val="0"/>
                <w:sz w:val="22"/>
              </w:rPr>
            </w:pPr>
            <w:r w:rsidRPr="00EE7169">
              <w:rPr>
                <w:rFonts w:ascii="Garamond" w:hAnsi="Garamond"/>
                <w:color w:val="000000"/>
                <w:kern w:val="0"/>
                <w:sz w:val="22"/>
              </w:rPr>
              <w:t>Firm importance</w:t>
            </w:r>
            <w:r w:rsidR="004664CE" w:rsidRPr="00EE7169">
              <w:rPr>
                <w:rFonts w:ascii="Garamond" w:hAnsi="Garamond"/>
                <w:kern w:val="0"/>
                <w:sz w:val="18"/>
                <w:szCs w:val="18"/>
                <w:vertAlign w:val="subscript"/>
              </w:rPr>
              <w:t xml:space="preserve"> (t-1)</w:t>
            </w:r>
          </w:p>
        </w:tc>
        <w:tc>
          <w:tcPr>
            <w:tcW w:w="1164" w:type="pct"/>
          </w:tcPr>
          <w:p w14:paraId="53B210FC" w14:textId="77777777" w:rsidR="00A651CA" w:rsidRPr="00EE7169" w:rsidRDefault="00A651CA" w:rsidP="004664CE">
            <w:pPr>
              <w:autoSpaceDE w:val="0"/>
              <w:autoSpaceDN w:val="0"/>
              <w:adjustRightInd w:val="0"/>
              <w:jc w:val="center"/>
              <w:rPr>
                <w:rFonts w:ascii="Garamond" w:hAnsi="Garamond"/>
                <w:kern w:val="0"/>
                <w:sz w:val="22"/>
              </w:rPr>
            </w:pPr>
            <w:r w:rsidRPr="00EE7169">
              <w:rPr>
                <w:rFonts w:ascii="Garamond" w:hAnsi="Garamond"/>
                <w:kern w:val="0"/>
                <w:sz w:val="22"/>
              </w:rPr>
              <w:t>0.181</w:t>
            </w:r>
          </w:p>
        </w:tc>
        <w:tc>
          <w:tcPr>
            <w:tcW w:w="1130" w:type="pct"/>
          </w:tcPr>
          <w:p w14:paraId="7142643E" w14:textId="77777777" w:rsidR="00A651CA" w:rsidRPr="00EE7169" w:rsidRDefault="00A651CA" w:rsidP="004664CE">
            <w:pPr>
              <w:autoSpaceDE w:val="0"/>
              <w:autoSpaceDN w:val="0"/>
              <w:adjustRightInd w:val="0"/>
              <w:jc w:val="center"/>
              <w:rPr>
                <w:rFonts w:ascii="Garamond" w:hAnsi="Garamond"/>
                <w:kern w:val="0"/>
                <w:sz w:val="22"/>
              </w:rPr>
            </w:pPr>
            <w:r w:rsidRPr="00EE7169">
              <w:rPr>
                <w:rFonts w:ascii="Garamond" w:hAnsi="Garamond"/>
                <w:kern w:val="0"/>
                <w:sz w:val="22"/>
              </w:rPr>
              <w:t>0.298</w:t>
            </w:r>
          </w:p>
        </w:tc>
        <w:tc>
          <w:tcPr>
            <w:tcW w:w="944" w:type="pct"/>
          </w:tcPr>
          <w:p w14:paraId="1B0C906B" w14:textId="77777777" w:rsidR="00A651CA" w:rsidRPr="00EE7169" w:rsidRDefault="00A651CA" w:rsidP="004664CE">
            <w:pPr>
              <w:autoSpaceDE w:val="0"/>
              <w:autoSpaceDN w:val="0"/>
              <w:adjustRightInd w:val="0"/>
              <w:jc w:val="center"/>
              <w:rPr>
                <w:rFonts w:ascii="Garamond" w:hAnsi="Garamond"/>
                <w:kern w:val="0"/>
                <w:sz w:val="22"/>
              </w:rPr>
            </w:pPr>
            <w:r w:rsidRPr="00EE7169">
              <w:rPr>
                <w:rFonts w:ascii="Garamond" w:hAnsi="Garamond"/>
                <w:kern w:val="0"/>
                <w:sz w:val="22"/>
              </w:rPr>
              <w:t>-0.117***</w:t>
            </w:r>
          </w:p>
        </w:tc>
      </w:tr>
      <w:tr w:rsidR="00A651CA" w:rsidRPr="00EE7169" w14:paraId="6B2C4AFB" w14:textId="77777777" w:rsidTr="004664CE">
        <w:trPr>
          <w:trHeight w:val="293"/>
          <w:jc w:val="center"/>
        </w:trPr>
        <w:tc>
          <w:tcPr>
            <w:tcW w:w="1762" w:type="pct"/>
          </w:tcPr>
          <w:p w14:paraId="2C297DCC" w14:textId="052759F0" w:rsidR="00A651CA" w:rsidRPr="00EE7169" w:rsidRDefault="00A651CA" w:rsidP="009E1502">
            <w:pPr>
              <w:autoSpaceDE w:val="0"/>
              <w:autoSpaceDN w:val="0"/>
              <w:adjustRightInd w:val="0"/>
              <w:jc w:val="left"/>
              <w:rPr>
                <w:rFonts w:ascii="Garamond" w:hAnsi="Garamond"/>
                <w:kern w:val="0"/>
                <w:sz w:val="22"/>
              </w:rPr>
            </w:pPr>
            <w:r w:rsidRPr="00EE7169">
              <w:rPr>
                <w:rFonts w:ascii="Garamond" w:hAnsi="Garamond"/>
                <w:kern w:val="0"/>
                <w:sz w:val="22"/>
              </w:rPr>
              <w:t>Fully state-owned</w:t>
            </w:r>
            <w:r w:rsidR="004664CE" w:rsidRPr="00EE7169">
              <w:rPr>
                <w:rFonts w:ascii="Garamond" w:hAnsi="Garamond"/>
                <w:kern w:val="0"/>
                <w:sz w:val="18"/>
                <w:szCs w:val="18"/>
                <w:vertAlign w:val="subscript"/>
              </w:rPr>
              <w:t xml:space="preserve"> (t-1)</w:t>
            </w:r>
          </w:p>
        </w:tc>
        <w:tc>
          <w:tcPr>
            <w:tcW w:w="1164" w:type="pct"/>
            <w:vAlign w:val="center"/>
          </w:tcPr>
          <w:p w14:paraId="4ECBCE81"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0.800</w:t>
            </w:r>
          </w:p>
        </w:tc>
        <w:tc>
          <w:tcPr>
            <w:tcW w:w="1130" w:type="pct"/>
            <w:vAlign w:val="center"/>
          </w:tcPr>
          <w:p w14:paraId="7BBE0B11"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0.812</w:t>
            </w:r>
          </w:p>
        </w:tc>
        <w:tc>
          <w:tcPr>
            <w:tcW w:w="944" w:type="pct"/>
            <w:vAlign w:val="center"/>
          </w:tcPr>
          <w:p w14:paraId="44BB9412"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-0.012</w:t>
            </w:r>
          </w:p>
        </w:tc>
      </w:tr>
      <w:tr w:rsidR="00A651CA" w:rsidRPr="00EE7169" w14:paraId="0D2D6A07" w14:textId="77777777" w:rsidTr="004664CE">
        <w:trPr>
          <w:trHeight w:val="293"/>
          <w:jc w:val="center"/>
        </w:trPr>
        <w:tc>
          <w:tcPr>
            <w:tcW w:w="1762" w:type="pct"/>
          </w:tcPr>
          <w:p w14:paraId="1D457439" w14:textId="56684A27" w:rsidR="00A651CA" w:rsidRPr="00EE7169" w:rsidRDefault="00A651CA" w:rsidP="004664CE">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Provincial GDP per capita</w:t>
            </w:r>
            <w:r w:rsidR="004664CE" w:rsidRPr="00EE7169">
              <w:rPr>
                <w:rFonts w:ascii="Garamond" w:hAnsi="Garamond"/>
                <w:kern w:val="0"/>
                <w:sz w:val="18"/>
                <w:szCs w:val="18"/>
                <w:vertAlign w:val="subscript"/>
              </w:rPr>
              <w:t xml:space="preserve"> (t-1)</w:t>
            </w:r>
          </w:p>
        </w:tc>
        <w:tc>
          <w:tcPr>
            <w:tcW w:w="1164" w:type="pct"/>
            <w:vAlign w:val="center"/>
          </w:tcPr>
          <w:p w14:paraId="0C887E0F"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8.535</w:t>
            </w:r>
          </w:p>
        </w:tc>
        <w:tc>
          <w:tcPr>
            <w:tcW w:w="1130" w:type="pct"/>
            <w:vAlign w:val="center"/>
          </w:tcPr>
          <w:p w14:paraId="6B58C6A2"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8.526</w:t>
            </w:r>
          </w:p>
        </w:tc>
        <w:tc>
          <w:tcPr>
            <w:tcW w:w="944" w:type="pct"/>
            <w:vAlign w:val="center"/>
          </w:tcPr>
          <w:p w14:paraId="47C9361A"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0.010</w:t>
            </w:r>
          </w:p>
        </w:tc>
      </w:tr>
      <w:tr w:rsidR="00A651CA" w:rsidRPr="00EE7169" w14:paraId="65691B6C" w14:textId="77777777" w:rsidTr="004664CE">
        <w:trPr>
          <w:trHeight w:val="293"/>
          <w:jc w:val="center"/>
        </w:trPr>
        <w:tc>
          <w:tcPr>
            <w:tcW w:w="1762" w:type="pct"/>
          </w:tcPr>
          <w:p w14:paraId="22493535" w14:textId="742503E7" w:rsidR="00A651CA" w:rsidRPr="00EE7169" w:rsidRDefault="004664CE" w:rsidP="00877C21">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Provincial</w:t>
            </w:r>
            <w:r w:rsidR="00A651CA" w:rsidRPr="00EE7169">
              <w:rPr>
                <w:rFonts w:ascii="Garamond" w:hAnsi="Garamond"/>
                <w:kern w:val="0"/>
                <w:sz w:val="22"/>
              </w:rPr>
              <w:t xml:space="preserve"> state sector share</w:t>
            </w:r>
            <w:r w:rsidRPr="00EE7169">
              <w:rPr>
                <w:rFonts w:ascii="Garamond" w:hAnsi="Garamond"/>
                <w:kern w:val="0"/>
                <w:sz w:val="18"/>
                <w:szCs w:val="18"/>
                <w:vertAlign w:val="subscript"/>
              </w:rPr>
              <w:t xml:space="preserve"> (t-1)</w:t>
            </w:r>
          </w:p>
        </w:tc>
        <w:tc>
          <w:tcPr>
            <w:tcW w:w="1164" w:type="pct"/>
            <w:vAlign w:val="center"/>
          </w:tcPr>
          <w:p w14:paraId="6D8B019A"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0.512</w:t>
            </w:r>
          </w:p>
        </w:tc>
        <w:tc>
          <w:tcPr>
            <w:tcW w:w="1130" w:type="pct"/>
            <w:vAlign w:val="center"/>
          </w:tcPr>
          <w:p w14:paraId="08C95880"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0.512</w:t>
            </w:r>
          </w:p>
        </w:tc>
        <w:tc>
          <w:tcPr>
            <w:tcW w:w="944" w:type="pct"/>
            <w:vAlign w:val="center"/>
          </w:tcPr>
          <w:p w14:paraId="2F54DB2D"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0.000</w:t>
            </w:r>
          </w:p>
        </w:tc>
      </w:tr>
      <w:tr w:rsidR="00A651CA" w:rsidRPr="00EE7169" w14:paraId="64657447" w14:textId="77777777" w:rsidTr="004664CE">
        <w:trPr>
          <w:trHeight w:val="293"/>
          <w:jc w:val="center"/>
        </w:trPr>
        <w:tc>
          <w:tcPr>
            <w:tcW w:w="1762" w:type="pct"/>
          </w:tcPr>
          <w:p w14:paraId="0C4DE26B" w14:textId="0484C277" w:rsidR="00A651CA" w:rsidRPr="00EE7169" w:rsidRDefault="004664CE" w:rsidP="004664CE">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Provincial</w:t>
            </w:r>
            <w:r w:rsidR="00A651CA" w:rsidRPr="00EE7169">
              <w:rPr>
                <w:rFonts w:ascii="Garamond" w:hAnsi="Garamond"/>
                <w:kern w:val="0"/>
                <w:sz w:val="22"/>
              </w:rPr>
              <w:t xml:space="preserve"> unemployment rate</w:t>
            </w:r>
            <w:r w:rsidRPr="00EE7169">
              <w:rPr>
                <w:rFonts w:ascii="Garamond" w:hAnsi="Garamond"/>
                <w:kern w:val="0"/>
                <w:sz w:val="18"/>
                <w:szCs w:val="18"/>
                <w:vertAlign w:val="subscript"/>
              </w:rPr>
              <w:t xml:space="preserve"> (t-1)</w:t>
            </w:r>
          </w:p>
        </w:tc>
        <w:tc>
          <w:tcPr>
            <w:tcW w:w="1164" w:type="pct"/>
            <w:vAlign w:val="center"/>
          </w:tcPr>
          <w:p w14:paraId="22F3D0BB"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3.607</w:t>
            </w:r>
          </w:p>
        </w:tc>
        <w:tc>
          <w:tcPr>
            <w:tcW w:w="1130" w:type="pct"/>
            <w:vAlign w:val="center"/>
          </w:tcPr>
          <w:p w14:paraId="7E9B4FB3"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3.361</w:t>
            </w:r>
          </w:p>
        </w:tc>
        <w:tc>
          <w:tcPr>
            <w:tcW w:w="944" w:type="pct"/>
            <w:vAlign w:val="center"/>
          </w:tcPr>
          <w:p w14:paraId="274D87F4" w14:textId="77777777" w:rsidR="00A651CA" w:rsidRPr="00EE7169" w:rsidRDefault="00A651CA" w:rsidP="004664CE">
            <w:pPr>
              <w:widowControl/>
              <w:jc w:val="center"/>
              <w:rPr>
                <w:rFonts w:ascii="Garamond" w:hAnsi="Garamond"/>
                <w:kern w:val="0"/>
                <w:sz w:val="22"/>
              </w:rPr>
            </w:pPr>
            <w:r w:rsidRPr="00EE7169">
              <w:rPr>
                <w:rFonts w:ascii="Garamond" w:hAnsi="Garamond"/>
                <w:kern w:val="0"/>
                <w:sz w:val="22"/>
              </w:rPr>
              <w:t>0.247***</w:t>
            </w:r>
          </w:p>
        </w:tc>
      </w:tr>
      <w:tr w:rsidR="00340198" w:rsidRPr="00EE7169" w14:paraId="5FC5DD72" w14:textId="77777777" w:rsidTr="004664CE">
        <w:trPr>
          <w:trHeight w:val="293"/>
          <w:jc w:val="center"/>
        </w:trPr>
        <w:tc>
          <w:tcPr>
            <w:tcW w:w="1762" w:type="pct"/>
          </w:tcPr>
          <w:p w14:paraId="232AC36D" w14:textId="77777777" w:rsidR="00340198" w:rsidRPr="00EE7169" w:rsidRDefault="00340198" w:rsidP="00877C21">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Number of firms</w:t>
            </w:r>
          </w:p>
        </w:tc>
        <w:tc>
          <w:tcPr>
            <w:tcW w:w="1164" w:type="pct"/>
            <w:vAlign w:val="center"/>
          </w:tcPr>
          <w:p w14:paraId="3A97FB33" w14:textId="304C3AF4" w:rsidR="00340198" w:rsidRPr="00EE7169" w:rsidRDefault="00340198" w:rsidP="004664CE">
            <w:pPr>
              <w:widowControl/>
              <w:jc w:val="center"/>
              <w:rPr>
                <w:rFonts w:ascii="Garamond" w:hAnsi="Garamond"/>
                <w:kern w:val="0"/>
                <w:sz w:val="22"/>
              </w:rPr>
            </w:pPr>
            <w:r w:rsidRPr="00EE7169">
              <w:rPr>
                <w:rFonts w:ascii="Garamond" w:hAnsi="Garamond"/>
                <w:kern w:val="0"/>
                <w:sz w:val="22"/>
              </w:rPr>
              <w:t>1</w:t>
            </w:r>
            <w:r w:rsidR="0093310A">
              <w:rPr>
                <w:rFonts w:ascii="Garamond" w:hAnsi="Garamond"/>
                <w:kern w:val="0"/>
                <w:sz w:val="22"/>
              </w:rPr>
              <w:t>,</w:t>
            </w:r>
            <w:r w:rsidRPr="00EE7169">
              <w:rPr>
                <w:rFonts w:ascii="Garamond" w:hAnsi="Garamond"/>
                <w:kern w:val="0"/>
                <w:sz w:val="22"/>
              </w:rPr>
              <w:t>116</w:t>
            </w:r>
          </w:p>
        </w:tc>
        <w:tc>
          <w:tcPr>
            <w:tcW w:w="1130" w:type="pct"/>
            <w:vAlign w:val="center"/>
          </w:tcPr>
          <w:p w14:paraId="738C9BC1" w14:textId="777E7BA7" w:rsidR="00340198" w:rsidRPr="00EE7169" w:rsidRDefault="00340198" w:rsidP="004664CE">
            <w:pPr>
              <w:widowControl/>
              <w:jc w:val="center"/>
              <w:rPr>
                <w:rFonts w:ascii="Garamond" w:hAnsi="Garamond"/>
                <w:kern w:val="0"/>
                <w:sz w:val="22"/>
              </w:rPr>
            </w:pPr>
            <w:r w:rsidRPr="00EE7169">
              <w:rPr>
                <w:rFonts w:ascii="Garamond" w:hAnsi="Garamond"/>
                <w:kern w:val="0"/>
                <w:sz w:val="22"/>
              </w:rPr>
              <w:t>13</w:t>
            </w:r>
            <w:r w:rsidR="0093310A">
              <w:rPr>
                <w:rFonts w:ascii="Garamond" w:hAnsi="Garamond"/>
                <w:kern w:val="0"/>
                <w:sz w:val="22"/>
              </w:rPr>
              <w:t>,</w:t>
            </w:r>
            <w:r w:rsidRPr="00EE7169">
              <w:rPr>
                <w:rFonts w:ascii="Garamond" w:hAnsi="Garamond"/>
                <w:kern w:val="0"/>
                <w:sz w:val="22"/>
              </w:rPr>
              <w:t>304</w:t>
            </w:r>
          </w:p>
        </w:tc>
        <w:tc>
          <w:tcPr>
            <w:tcW w:w="944" w:type="pct"/>
            <w:vAlign w:val="center"/>
          </w:tcPr>
          <w:p w14:paraId="74403F36" w14:textId="77777777" w:rsidR="00340198" w:rsidRPr="00EE7169" w:rsidRDefault="00340198" w:rsidP="004664CE">
            <w:pPr>
              <w:widowControl/>
              <w:jc w:val="center"/>
              <w:rPr>
                <w:rFonts w:ascii="Garamond" w:hAnsi="Garamond"/>
                <w:kern w:val="0"/>
                <w:sz w:val="22"/>
              </w:rPr>
            </w:pPr>
          </w:p>
        </w:tc>
      </w:tr>
      <w:tr w:rsidR="00340198" w:rsidRPr="00EE7169" w14:paraId="629DC576" w14:textId="77777777" w:rsidTr="004664CE">
        <w:trPr>
          <w:trHeight w:val="293"/>
          <w:jc w:val="center"/>
        </w:trPr>
        <w:tc>
          <w:tcPr>
            <w:tcW w:w="1762" w:type="pct"/>
          </w:tcPr>
          <w:p w14:paraId="44CD4EBB" w14:textId="77777777" w:rsidR="00340198" w:rsidRPr="00EE7169" w:rsidRDefault="00340198" w:rsidP="00877C21">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Number of observations</w:t>
            </w:r>
          </w:p>
        </w:tc>
        <w:tc>
          <w:tcPr>
            <w:tcW w:w="1164" w:type="pct"/>
            <w:vAlign w:val="center"/>
          </w:tcPr>
          <w:p w14:paraId="1352407E" w14:textId="091349F7" w:rsidR="00340198" w:rsidRPr="00EE7169" w:rsidRDefault="00340198" w:rsidP="004664CE">
            <w:pPr>
              <w:widowControl/>
              <w:jc w:val="center"/>
              <w:rPr>
                <w:rFonts w:ascii="Garamond" w:hAnsi="Garamond"/>
                <w:kern w:val="0"/>
                <w:sz w:val="22"/>
              </w:rPr>
            </w:pPr>
            <w:r w:rsidRPr="00EE7169">
              <w:rPr>
                <w:rFonts w:ascii="Garamond" w:hAnsi="Garamond"/>
                <w:kern w:val="0"/>
                <w:sz w:val="22"/>
              </w:rPr>
              <w:t>3</w:t>
            </w:r>
            <w:r w:rsidR="0093310A">
              <w:rPr>
                <w:rFonts w:ascii="Garamond" w:hAnsi="Garamond"/>
                <w:kern w:val="0"/>
                <w:sz w:val="22"/>
              </w:rPr>
              <w:t>,</w:t>
            </w:r>
            <w:r w:rsidRPr="00EE7169">
              <w:rPr>
                <w:rFonts w:ascii="Garamond" w:hAnsi="Garamond"/>
                <w:kern w:val="0"/>
                <w:sz w:val="22"/>
              </w:rPr>
              <w:t>493</w:t>
            </w:r>
          </w:p>
        </w:tc>
        <w:tc>
          <w:tcPr>
            <w:tcW w:w="1130" w:type="pct"/>
            <w:vAlign w:val="center"/>
          </w:tcPr>
          <w:p w14:paraId="5580CC1B" w14:textId="4409353D" w:rsidR="00340198" w:rsidRPr="00EE7169" w:rsidRDefault="00340198" w:rsidP="004664CE">
            <w:pPr>
              <w:widowControl/>
              <w:jc w:val="center"/>
              <w:rPr>
                <w:rFonts w:ascii="Garamond" w:hAnsi="Garamond"/>
                <w:kern w:val="0"/>
                <w:sz w:val="22"/>
              </w:rPr>
            </w:pPr>
            <w:r w:rsidRPr="00EE7169">
              <w:rPr>
                <w:rFonts w:ascii="Garamond" w:hAnsi="Garamond"/>
                <w:kern w:val="0"/>
                <w:sz w:val="22"/>
              </w:rPr>
              <w:t>56</w:t>
            </w:r>
            <w:r w:rsidR="0093310A">
              <w:rPr>
                <w:rFonts w:ascii="Garamond" w:hAnsi="Garamond"/>
                <w:kern w:val="0"/>
                <w:sz w:val="22"/>
              </w:rPr>
              <w:t>,</w:t>
            </w:r>
            <w:r w:rsidRPr="00EE7169">
              <w:rPr>
                <w:rFonts w:ascii="Garamond" w:hAnsi="Garamond"/>
                <w:kern w:val="0"/>
                <w:sz w:val="22"/>
              </w:rPr>
              <w:t>781</w:t>
            </w:r>
          </w:p>
        </w:tc>
        <w:tc>
          <w:tcPr>
            <w:tcW w:w="944" w:type="pct"/>
            <w:vAlign w:val="center"/>
          </w:tcPr>
          <w:p w14:paraId="492319B3" w14:textId="77777777" w:rsidR="00340198" w:rsidRPr="00EE7169" w:rsidRDefault="00340198" w:rsidP="004664CE">
            <w:pPr>
              <w:widowControl/>
              <w:jc w:val="center"/>
              <w:rPr>
                <w:rFonts w:ascii="Garamond" w:hAnsi="Garamond"/>
                <w:kern w:val="0"/>
                <w:sz w:val="22"/>
              </w:rPr>
            </w:pPr>
          </w:p>
        </w:tc>
      </w:tr>
    </w:tbl>
    <w:p w14:paraId="0AC76BE7" w14:textId="1468093C" w:rsidR="009B7444" w:rsidRPr="00EE7169" w:rsidRDefault="009B7444" w:rsidP="009B7444">
      <w:pPr>
        <w:widowControl/>
        <w:rPr>
          <w:rFonts w:ascii="Garamond" w:eastAsia="STFangsong" w:hAnsi="Garamond"/>
          <w:szCs w:val="21"/>
        </w:rPr>
      </w:pPr>
      <w:r w:rsidRPr="00EE7169">
        <w:rPr>
          <w:rFonts w:ascii="Garamond" w:eastAsia="STFangsong" w:hAnsi="Garamond"/>
          <w:szCs w:val="21"/>
        </w:rPr>
        <w:t>This table lists summary statistics of SOEs that were decentralized and those that were NOT decentralized during 1999-2007. Column (3) shows the t-statistics of mean difference tests. A</w:t>
      </w:r>
      <w:r w:rsidR="005904DD">
        <w:rPr>
          <w:rFonts w:ascii="Garamond" w:eastAsia="STFangsong" w:hAnsi="Garamond" w:hint="eastAsia"/>
          <w:szCs w:val="21"/>
        </w:rPr>
        <w:t>n</w:t>
      </w:r>
      <w:r w:rsidRPr="00EE7169">
        <w:rPr>
          <w:rFonts w:ascii="Garamond" w:eastAsia="STFangsong" w:hAnsi="Garamond"/>
          <w:szCs w:val="21"/>
        </w:rPr>
        <w:t xml:space="preserve"> SOE is defined as </w:t>
      </w:r>
      <w:r w:rsidRPr="00EE7169">
        <w:rPr>
          <w:rFonts w:ascii="Garamond" w:eastAsia="STFangsong" w:hAnsi="Garamond"/>
          <w:i/>
          <w:szCs w:val="21"/>
        </w:rPr>
        <w:t>decentralized</w:t>
      </w:r>
      <w:r w:rsidRPr="00EE7169">
        <w:rPr>
          <w:rFonts w:ascii="Garamond" w:eastAsia="STFangsong" w:hAnsi="Garamond"/>
          <w:szCs w:val="21"/>
        </w:rPr>
        <w:t xml:space="preserve"> if </w:t>
      </w:r>
      <w:r w:rsidRPr="00EE7169">
        <w:rPr>
          <w:rFonts w:ascii="Garamond" w:hAnsi="Garamond"/>
          <w:color w:val="000000"/>
          <w:kern w:val="0"/>
          <w:szCs w:val="21"/>
        </w:rPr>
        <w:t xml:space="preserve">is affiliation level is changed from a higher-level government to a lower-level government. </w:t>
      </w:r>
      <w:r w:rsidRPr="00EE7169">
        <w:rPr>
          <w:rFonts w:ascii="Garamond" w:eastAsia="STFangsong" w:hAnsi="Garamond"/>
          <w:szCs w:val="21"/>
        </w:rPr>
        <w:t xml:space="preserve">*, ** and *** indicate statistical significance at 10%, 5% and 1% levels, respectively. </w:t>
      </w:r>
    </w:p>
    <w:p w14:paraId="59AD2D1D" w14:textId="77777777" w:rsidR="00132172" w:rsidRPr="00EE7169" w:rsidRDefault="00132172">
      <w:pPr>
        <w:widowControl/>
        <w:jc w:val="left"/>
        <w:rPr>
          <w:rFonts w:ascii="Garamond" w:eastAsia="STFangsong" w:hAnsi="Garamond"/>
          <w:kern w:val="0"/>
          <w:sz w:val="18"/>
          <w:szCs w:val="18"/>
        </w:rPr>
      </w:pPr>
    </w:p>
    <w:p w14:paraId="63A884EE" w14:textId="4FE5CE20" w:rsidR="009C4572" w:rsidRPr="00EE7169" w:rsidRDefault="00132172" w:rsidP="009C4572">
      <w:pPr>
        <w:autoSpaceDE w:val="0"/>
        <w:autoSpaceDN w:val="0"/>
        <w:adjustRightInd w:val="0"/>
        <w:jc w:val="center"/>
        <w:rPr>
          <w:rFonts w:ascii="Garamond" w:hAnsi="Garamond"/>
          <w:b/>
          <w:kern w:val="0"/>
          <w:sz w:val="24"/>
          <w:szCs w:val="24"/>
        </w:rPr>
      </w:pPr>
      <w:r w:rsidRPr="00EE7169">
        <w:rPr>
          <w:rFonts w:ascii="Garamond" w:eastAsia="STFangsong" w:hAnsi="Garamond"/>
          <w:kern w:val="0"/>
          <w:sz w:val="18"/>
          <w:szCs w:val="18"/>
        </w:rPr>
        <w:br w:type="page"/>
      </w:r>
      <w:r w:rsidR="009C4572" w:rsidRPr="00EE7169">
        <w:rPr>
          <w:rFonts w:ascii="Garamond" w:hAnsi="Garamond"/>
          <w:b/>
          <w:kern w:val="0"/>
          <w:sz w:val="24"/>
          <w:szCs w:val="24"/>
        </w:rPr>
        <w:lastRenderedPageBreak/>
        <w:t xml:space="preserve">Table </w:t>
      </w:r>
      <w:r w:rsidR="004D221A" w:rsidRPr="00EE7169">
        <w:rPr>
          <w:rFonts w:ascii="Garamond" w:hAnsi="Garamond"/>
          <w:b/>
          <w:kern w:val="0"/>
          <w:sz w:val="24"/>
          <w:szCs w:val="24"/>
        </w:rPr>
        <w:t>3</w:t>
      </w:r>
      <w:r w:rsidR="009C4572" w:rsidRPr="00EE7169">
        <w:rPr>
          <w:rFonts w:ascii="Garamond" w:hAnsi="Garamond"/>
          <w:b/>
          <w:kern w:val="0"/>
          <w:sz w:val="24"/>
          <w:szCs w:val="24"/>
        </w:rPr>
        <w:t>. Decentralization Ratio by Location and Affiliation</w:t>
      </w:r>
    </w:p>
    <w:tbl>
      <w:tblPr>
        <w:tblW w:w="4517" w:type="pct"/>
        <w:jc w:val="center"/>
        <w:tblBorders>
          <w:top w:val="single" w:sz="4" w:space="0" w:color="auto"/>
          <w:left w:val="dotted" w:sz="4" w:space="0" w:color="auto"/>
          <w:bottom w:val="single" w:sz="4" w:space="0" w:color="auto"/>
          <w:right w:val="dotted" w:sz="4" w:space="0" w:color="auto"/>
          <w:insideV w:val="dotted" w:sz="4" w:space="0" w:color="auto"/>
        </w:tblBorders>
        <w:shd w:val="clear" w:color="auto" w:fill="FFFFFF"/>
        <w:tblLook w:val="04A0" w:firstRow="1" w:lastRow="0" w:firstColumn="1" w:lastColumn="0" w:noHBand="0" w:noVBand="1"/>
      </w:tblPr>
      <w:tblGrid>
        <w:gridCol w:w="2261"/>
        <w:gridCol w:w="3022"/>
        <w:gridCol w:w="3164"/>
      </w:tblGrid>
      <w:tr w:rsidR="009C4572" w:rsidRPr="00EE7169" w14:paraId="686E1756" w14:textId="77777777" w:rsidTr="004833F8">
        <w:trPr>
          <w:trHeight w:hRule="exact" w:val="301"/>
          <w:jc w:val="center"/>
        </w:trPr>
        <w:tc>
          <w:tcPr>
            <w:tcW w:w="1338" w:type="pct"/>
            <w:vMerge w:val="restart"/>
            <w:tcBorders>
              <w:top w:val="single" w:sz="4" w:space="0" w:color="auto"/>
            </w:tcBorders>
            <w:shd w:val="clear" w:color="auto" w:fill="FFFFFF"/>
            <w:vAlign w:val="center"/>
            <w:hideMark/>
          </w:tcPr>
          <w:p w14:paraId="39D8030A" w14:textId="77777777" w:rsidR="009C4572" w:rsidRPr="00EE7169" w:rsidRDefault="009C4572" w:rsidP="00CD236A">
            <w:pPr>
              <w:widowControl/>
              <w:jc w:val="left"/>
              <w:rPr>
                <w:rFonts w:ascii="Garamond" w:hAnsi="Garamond"/>
                <w:bCs/>
                <w:kern w:val="0"/>
                <w:sz w:val="22"/>
              </w:rPr>
            </w:pPr>
            <w:r w:rsidRPr="00EE7169">
              <w:rPr>
                <w:rFonts w:ascii="Garamond" w:hAnsi="Garamond"/>
                <w:kern w:val="0"/>
                <w:sz w:val="22"/>
              </w:rPr>
              <w:t xml:space="preserve">　</w:t>
            </w:r>
          </w:p>
        </w:tc>
        <w:tc>
          <w:tcPr>
            <w:tcW w:w="3662" w:type="pct"/>
            <w:gridSpan w:val="2"/>
            <w:tcBorders>
              <w:top w:val="single" w:sz="4" w:space="0" w:color="auto"/>
              <w:bottom w:val="single" w:sz="4" w:space="0" w:color="auto"/>
            </w:tcBorders>
            <w:shd w:val="clear" w:color="auto" w:fill="FFFFFF"/>
            <w:vAlign w:val="center"/>
          </w:tcPr>
          <w:p w14:paraId="2EF95E57" w14:textId="77777777" w:rsidR="009C4572" w:rsidRPr="00EE7169" w:rsidRDefault="009C4572" w:rsidP="00CD236A">
            <w:pPr>
              <w:widowControl/>
              <w:jc w:val="center"/>
              <w:rPr>
                <w:rFonts w:ascii="Garamond" w:hAnsi="Garamond"/>
                <w:position w:val="-10"/>
                <w:sz w:val="22"/>
              </w:rPr>
            </w:pPr>
            <w:r w:rsidRPr="00EE7169">
              <w:rPr>
                <w:rFonts w:ascii="Garamond" w:hAnsi="Garamond"/>
                <w:position w:val="-10"/>
                <w:sz w:val="22"/>
              </w:rPr>
              <w:t>Ratio of Decentralization</w:t>
            </w:r>
          </w:p>
          <w:p w14:paraId="2FA502ED" w14:textId="77777777" w:rsidR="009C4572" w:rsidRPr="00EE7169" w:rsidRDefault="009C4572" w:rsidP="00CD236A">
            <w:pPr>
              <w:widowControl/>
              <w:jc w:val="center"/>
              <w:rPr>
                <w:rFonts w:ascii="Garamond" w:hAnsi="Garamond"/>
                <w:bCs/>
                <w:color w:val="000000"/>
                <w:kern w:val="0"/>
                <w:sz w:val="22"/>
              </w:rPr>
            </w:pPr>
          </w:p>
        </w:tc>
      </w:tr>
      <w:tr w:rsidR="009C4572" w:rsidRPr="00EE7169" w14:paraId="6ED0AEAE" w14:textId="77777777" w:rsidTr="004833F8">
        <w:trPr>
          <w:trHeight w:hRule="exact" w:val="854"/>
          <w:jc w:val="center"/>
        </w:trPr>
        <w:tc>
          <w:tcPr>
            <w:tcW w:w="1338" w:type="pct"/>
            <w:vMerge/>
            <w:tcBorders>
              <w:bottom w:val="single" w:sz="4" w:space="0" w:color="auto"/>
            </w:tcBorders>
            <w:shd w:val="clear" w:color="auto" w:fill="FFFFFF"/>
            <w:vAlign w:val="center"/>
          </w:tcPr>
          <w:p w14:paraId="628224E4" w14:textId="77777777" w:rsidR="009C4572" w:rsidRPr="00EE7169" w:rsidRDefault="009C4572" w:rsidP="00CD236A">
            <w:pPr>
              <w:widowControl/>
              <w:jc w:val="left"/>
              <w:rPr>
                <w:rFonts w:ascii="Garamond" w:hAnsi="Garamond"/>
                <w:bCs/>
                <w:kern w:val="0"/>
                <w:sz w:val="22"/>
              </w:rPr>
            </w:pPr>
          </w:p>
        </w:tc>
        <w:tc>
          <w:tcPr>
            <w:tcW w:w="1789" w:type="pct"/>
            <w:tcBorders>
              <w:top w:val="single" w:sz="4" w:space="0" w:color="auto"/>
              <w:bottom w:val="single" w:sz="4" w:space="0" w:color="auto"/>
            </w:tcBorders>
            <w:shd w:val="clear" w:color="auto" w:fill="FFFFFF"/>
            <w:vAlign w:val="center"/>
          </w:tcPr>
          <w:p w14:paraId="35CE3930"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position w:val="-10"/>
                <w:sz w:val="22"/>
              </w:rPr>
              <w:t>SOEs located in the SAME city with the seat of the government</w:t>
            </w:r>
          </w:p>
        </w:tc>
        <w:tc>
          <w:tcPr>
            <w:tcW w:w="1873" w:type="pct"/>
            <w:tcBorders>
              <w:top w:val="single" w:sz="4" w:space="0" w:color="auto"/>
              <w:bottom w:val="single" w:sz="4" w:space="0" w:color="auto"/>
            </w:tcBorders>
            <w:shd w:val="clear" w:color="auto" w:fill="FFFFFF"/>
            <w:vAlign w:val="center"/>
          </w:tcPr>
          <w:p w14:paraId="4374B1AA"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position w:val="-10"/>
                <w:sz w:val="22"/>
              </w:rPr>
              <w:t>SOEs located in a DIFFERENT city with the seat of the government</w:t>
            </w:r>
          </w:p>
        </w:tc>
      </w:tr>
      <w:tr w:rsidR="009C4572" w:rsidRPr="00EE7169" w14:paraId="7B8FF7C2" w14:textId="77777777" w:rsidTr="004833F8">
        <w:trPr>
          <w:trHeight w:hRule="exact" w:val="301"/>
          <w:jc w:val="center"/>
        </w:trPr>
        <w:tc>
          <w:tcPr>
            <w:tcW w:w="1338" w:type="pct"/>
            <w:vMerge w:val="restart"/>
            <w:tcBorders>
              <w:top w:val="single" w:sz="4" w:space="0" w:color="auto"/>
            </w:tcBorders>
            <w:shd w:val="clear" w:color="auto" w:fill="FFFFFF"/>
            <w:hideMark/>
          </w:tcPr>
          <w:p w14:paraId="56CA46F1" w14:textId="77777777" w:rsidR="009C4572" w:rsidRPr="00EE7169" w:rsidRDefault="009C4572" w:rsidP="00CD236A">
            <w:pPr>
              <w:autoSpaceDE w:val="0"/>
              <w:autoSpaceDN w:val="0"/>
              <w:adjustRightInd w:val="0"/>
              <w:rPr>
                <w:rFonts w:ascii="Garamond" w:hAnsi="Garamond"/>
                <w:bCs/>
                <w:color w:val="000000"/>
                <w:kern w:val="0"/>
                <w:sz w:val="22"/>
              </w:rPr>
            </w:pPr>
            <w:r w:rsidRPr="00EE7169">
              <w:rPr>
                <w:rFonts w:ascii="Garamond" w:hAnsi="Garamond"/>
                <w:kern w:val="0"/>
                <w:sz w:val="22"/>
              </w:rPr>
              <w:t>Central SOEs</w:t>
            </w:r>
          </w:p>
        </w:tc>
        <w:tc>
          <w:tcPr>
            <w:tcW w:w="1789" w:type="pct"/>
            <w:tcBorders>
              <w:top w:val="single" w:sz="4" w:space="0" w:color="auto"/>
            </w:tcBorders>
            <w:shd w:val="clear" w:color="auto" w:fill="FFFFFF"/>
            <w:vAlign w:val="center"/>
            <w:hideMark/>
          </w:tcPr>
          <w:p w14:paraId="29105D99"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5.53%</w:t>
            </w:r>
          </w:p>
        </w:tc>
        <w:tc>
          <w:tcPr>
            <w:tcW w:w="1873" w:type="pct"/>
            <w:tcBorders>
              <w:top w:val="single" w:sz="4" w:space="0" w:color="auto"/>
            </w:tcBorders>
            <w:shd w:val="clear" w:color="auto" w:fill="FFFFFF"/>
            <w:vAlign w:val="center"/>
            <w:hideMark/>
          </w:tcPr>
          <w:p w14:paraId="73E38C72"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15.63%</w:t>
            </w:r>
          </w:p>
        </w:tc>
      </w:tr>
      <w:tr w:rsidR="009C4572" w:rsidRPr="00EE7169" w14:paraId="4EE6D90A" w14:textId="77777777" w:rsidTr="004833F8">
        <w:trPr>
          <w:trHeight w:hRule="exact" w:val="301"/>
          <w:jc w:val="center"/>
        </w:trPr>
        <w:tc>
          <w:tcPr>
            <w:tcW w:w="1338" w:type="pct"/>
            <w:vMerge/>
            <w:shd w:val="clear" w:color="auto" w:fill="FFFFFF"/>
            <w:hideMark/>
          </w:tcPr>
          <w:p w14:paraId="5D20C18A" w14:textId="77777777" w:rsidR="009C4572" w:rsidRPr="00EE7169" w:rsidRDefault="009C4572" w:rsidP="00CD236A">
            <w:pPr>
              <w:widowControl/>
              <w:rPr>
                <w:rFonts w:ascii="Garamond" w:hAnsi="Garamond"/>
                <w:bCs/>
                <w:color w:val="000000"/>
                <w:kern w:val="0"/>
                <w:sz w:val="22"/>
              </w:rPr>
            </w:pPr>
          </w:p>
        </w:tc>
        <w:tc>
          <w:tcPr>
            <w:tcW w:w="1789" w:type="pct"/>
            <w:shd w:val="clear" w:color="auto" w:fill="FFFFFF"/>
            <w:vAlign w:val="center"/>
            <w:hideMark/>
          </w:tcPr>
          <w:p w14:paraId="4CADB2E8"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(253)</w:t>
            </w:r>
          </w:p>
        </w:tc>
        <w:tc>
          <w:tcPr>
            <w:tcW w:w="1873" w:type="pct"/>
            <w:shd w:val="clear" w:color="auto" w:fill="FFFFFF"/>
            <w:vAlign w:val="center"/>
            <w:hideMark/>
          </w:tcPr>
          <w:p w14:paraId="3EB55E13"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(1945)</w:t>
            </w:r>
          </w:p>
        </w:tc>
      </w:tr>
      <w:tr w:rsidR="009C4572" w:rsidRPr="00EE7169" w14:paraId="4D43114A" w14:textId="77777777" w:rsidTr="004833F8">
        <w:trPr>
          <w:trHeight w:hRule="exact" w:val="301"/>
          <w:jc w:val="center"/>
        </w:trPr>
        <w:tc>
          <w:tcPr>
            <w:tcW w:w="1338" w:type="pct"/>
            <w:vMerge w:val="restart"/>
            <w:shd w:val="clear" w:color="auto" w:fill="FFFFFF"/>
            <w:hideMark/>
          </w:tcPr>
          <w:p w14:paraId="0921422F" w14:textId="77777777" w:rsidR="009C4572" w:rsidRPr="00EE7169" w:rsidRDefault="009C4572" w:rsidP="00CD236A">
            <w:pPr>
              <w:autoSpaceDE w:val="0"/>
              <w:autoSpaceDN w:val="0"/>
              <w:adjustRightInd w:val="0"/>
              <w:rPr>
                <w:rFonts w:ascii="Garamond" w:hAnsi="Garamond"/>
                <w:kern w:val="0"/>
                <w:sz w:val="22"/>
              </w:rPr>
            </w:pPr>
            <w:r w:rsidRPr="00EE7169">
              <w:rPr>
                <w:rFonts w:ascii="Garamond" w:hAnsi="Garamond"/>
                <w:kern w:val="0"/>
                <w:sz w:val="22"/>
              </w:rPr>
              <w:t>Province SOEs</w:t>
            </w:r>
          </w:p>
        </w:tc>
        <w:tc>
          <w:tcPr>
            <w:tcW w:w="1789" w:type="pct"/>
            <w:shd w:val="clear" w:color="auto" w:fill="FFFFFF"/>
            <w:vAlign w:val="center"/>
            <w:hideMark/>
          </w:tcPr>
          <w:p w14:paraId="5BF4A79D"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5.33%</w:t>
            </w:r>
          </w:p>
        </w:tc>
        <w:tc>
          <w:tcPr>
            <w:tcW w:w="1873" w:type="pct"/>
            <w:shd w:val="clear" w:color="auto" w:fill="FFFFFF"/>
            <w:vAlign w:val="center"/>
            <w:hideMark/>
          </w:tcPr>
          <w:p w14:paraId="53CF281F"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15.35%</w:t>
            </w:r>
          </w:p>
        </w:tc>
      </w:tr>
      <w:tr w:rsidR="009C4572" w:rsidRPr="00EE7169" w14:paraId="119AFB1C" w14:textId="77777777" w:rsidTr="004833F8">
        <w:trPr>
          <w:trHeight w:hRule="exact" w:val="301"/>
          <w:jc w:val="center"/>
        </w:trPr>
        <w:tc>
          <w:tcPr>
            <w:tcW w:w="1338" w:type="pct"/>
            <w:vMerge/>
            <w:shd w:val="clear" w:color="auto" w:fill="FFFFFF"/>
            <w:hideMark/>
          </w:tcPr>
          <w:p w14:paraId="20FB3088" w14:textId="77777777" w:rsidR="009C4572" w:rsidRPr="00EE7169" w:rsidRDefault="009C4572" w:rsidP="00CD236A">
            <w:pPr>
              <w:widowControl/>
              <w:rPr>
                <w:rFonts w:ascii="Garamond" w:hAnsi="Garamond"/>
                <w:bCs/>
                <w:color w:val="000000"/>
                <w:kern w:val="0"/>
                <w:sz w:val="22"/>
              </w:rPr>
            </w:pPr>
          </w:p>
        </w:tc>
        <w:tc>
          <w:tcPr>
            <w:tcW w:w="1789" w:type="pct"/>
            <w:shd w:val="clear" w:color="auto" w:fill="FFFFFF"/>
            <w:vAlign w:val="center"/>
            <w:hideMark/>
          </w:tcPr>
          <w:p w14:paraId="5F81936B"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(2231)</w:t>
            </w:r>
          </w:p>
        </w:tc>
        <w:tc>
          <w:tcPr>
            <w:tcW w:w="1873" w:type="pct"/>
            <w:shd w:val="clear" w:color="auto" w:fill="FFFFFF"/>
            <w:vAlign w:val="center"/>
            <w:hideMark/>
          </w:tcPr>
          <w:p w14:paraId="09014AB0"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(1726)</w:t>
            </w:r>
          </w:p>
        </w:tc>
      </w:tr>
      <w:tr w:rsidR="009C4572" w:rsidRPr="00EE7169" w14:paraId="22944BD2" w14:textId="77777777" w:rsidTr="004833F8">
        <w:trPr>
          <w:trHeight w:hRule="exact" w:val="301"/>
          <w:jc w:val="center"/>
        </w:trPr>
        <w:tc>
          <w:tcPr>
            <w:tcW w:w="1338" w:type="pct"/>
            <w:vMerge w:val="restart"/>
            <w:shd w:val="clear" w:color="auto" w:fill="FFFFFF"/>
            <w:hideMark/>
          </w:tcPr>
          <w:p w14:paraId="01A02B5B" w14:textId="1FF4ADBE" w:rsidR="009C4572" w:rsidRPr="00EE7169" w:rsidRDefault="00F451FE" w:rsidP="00CD236A">
            <w:pPr>
              <w:autoSpaceDE w:val="0"/>
              <w:autoSpaceDN w:val="0"/>
              <w:adjustRightInd w:val="0"/>
              <w:rPr>
                <w:rFonts w:ascii="Garamond" w:hAnsi="Garamond"/>
                <w:bCs/>
                <w:color w:val="000000"/>
                <w:kern w:val="0"/>
                <w:sz w:val="22"/>
              </w:rPr>
            </w:pPr>
            <w:r w:rsidRPr="00EE7169">
              <w:rPr>
                <w:rFonts w:ascii="Garamond" w:hAnsi="Garamond"/>
                <w:kern w:val="0"/>
                <w:sz w:val="22"/>
              </w:rPr>
              <w:t xml:space="preserve">Municipal </w:t>
            </w:r>
            <w:r w:rsidR="009C4572" w:rsidRPr="00EE7169">
              <w:rPr>
                <w:rFonts w:ascii="Garamond" w:hAnsi="Garamond"/>
                <w:kern w:val="0"/>
                <w:sz w:val="22"/>
              </w:rPr>
              <w:t>SOEs</w:t>
            </w:r>
          </w:p>
        </w:tc>
        <w:tc>
          <w:tcPr>
            <w:tcW w:w="1789" w:type="pct"/>
            <w:shd w:val="clear" w:color="auto" w:fill="FFFFFF"/>
            <w:vAlign w:val="center"/>
            <w:hideMark/>
          </w:tcPr>
          <w:p w14:paraId="78ABEECA"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4.17%</w:t>
            </w:r>
          </w:p>
        </w:tc>
        <w:tc>
          <w:tcPr>
            <w:tcW w:w="1873" w:type="pct"/>
            <w:shd w:val="clear" w:color="auto" w:fill="FFFFFF"/>
            <w:vAlign w:val="center"/>
            <w:hideMark/>
          </w:tcPr>
          <w:p w14:paraId="76F4A614"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11.38%</w:t>
            </w:r>
          </w:p>
        </w:tc>
      </w:tr>
      <w:tr w:rsidR="009C4572" w:rsidRPr="00EE7169" w14:paraId="230CA3C1" w14:textId="77777777" w:rsidTr="004833F8">
        <w:trPr>
          <w:trHeight w:hRule="exact" w:val="301"/>
          <w:jc w:val="center"/>
        </w:trPr>
        <w:tc>
          <w:tcPr>
            <w:tcW w:w="1338" w:type="pct"/>
            <w:vMerge/>
            <w:shd w:val="clear" w:color="auto" w:fill="FFFFFF"/>
            <w:vAlign w:val="center"/>
            <w:hideMark/>
          </w:tcPr>
          <w:p w14:paraId="2E2D8930" w14:textId="77777777" w:rsidR="009C4572" w:rsidRPr="00EE7169" w:rsidRDefault="009C4572" w:rsidP="00CD236A">
            <w:pPr>
              <w:widowControl/>
              <w:jc w:val="left"/>
              <w:rPr>
                <w:rFonts w:ascii="Garamond" w:hAnsi="Garamond"/>
                <w:bCs/>
                <w:color w:val="000000"/>
                <w:kern w:val="0"/>
                <w:sz w:val="22"/>
              </w:rPr>
            </w:pPr>
          </w:p>
        </w:tc>
        <w:tc>
          <w:tcPr>
            <w:tcW w:w="1789" w:type="pct"/>
            <w:shd w:val="clear" w:color="auto" w:fill="FFFFFF"/>
            <w:vAlign w:val="center"/>
            <w:hideMark/>
          </w:tcPr>
          <w:p w14:paraId="23F4BE5F"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(7298)</w:t>
            </w:r>
          </w:p>
        </w:tc>
        <w:tc>
          <w:tcPr>
            <w:tcW w:w="1873" w:type="pct"/>
            <w:shd w:val="clear" w:color="auto" w:fill="FFFFFF"/>
            <w:vAlign w:val="center"/>
            <w:hideMark/>
          </w:tcPr>
          <w:p w14:paraId="7F38045F" w14:textId="77777777" w:rsidR="009C4572" w:rsidRPr="00EE7169" w:rsidRDefault="009C4572" w:rsidP="00CD236A">
            <w:pPr>
              <w:widowControl/>
              <w:jc w:val="center"/>
              <w:rPr>
                <w:rFonts w:ascii="Garamond" w:hAnsi="Garamond"/>
                <w:bCs/>
                <w:color w:val="000000"/>
                <w:kern w:val="0"/>
                <w:sz w:val="22"/>
              </w:rPr>
            </w:pPr>
            <w:r w:rsidRPr="00EE7169">
              <w:rPr>
                <w:rFonts w:ascii="Garamond" w:hAnsi="Garamond"/>
                <w:color w:val="000000"/>
                <w:kern w:val="0"/>
                <w:sz w:val="22"/>
              </w:rPr>
              <w:t>(967)</w:t>
            </w:r>
          </w:p>
        </w:tc>
      </w:tr>
    </w:tbl>
    <w:p w14:paraId="0715422B" w14:textId="77777777" w:rsidR="009B7444" w:rsidRPr="00EE7169" w:rsidRDefault="009B7444" w:rsidP="009B7444">
      <w:pPr>
        <w:autoSpaceDE w:val="0"/>
        <w:autoSpaceDN w:val="0"/>
        <w:adjustRightInd w:val="0"/>
        <w:rPr>
          <w:rFonts w:ascii="Garamond" w:hAnsi="Garamond"/>
          <w:color w:val="000000"/>
          <w:kern w:val="0"/>
          <w:szCs w:val="21"/>
        </w:rPr>
      </w:pPr>
      <w:r w:rsidRPr="00EE7169">
        <w:rPr>
          <w:rFonts w:ascii="Garamond" w:hAnsi="Garamond"/>
          <w:kern w:val="0"/>
          <w:sz w:val="22"/>
          <w:szCs w:val="24"/>
        </w:rPr>
        <w:t xml:space="preserve">This table compares ratio of decentralization of SOEs located in the </w:t>
      </w:r>
      <w:r w:rsidRPr="00EE7169">
        <w:rPr>
          <w:rFonts w:ascii="Garamond" w:hAnsi="Garamond"/>
          <w:i/>
          <w:kern w:val="0"/>
          <w:sz w:val="22"/>
          <w:szCs w:val="24"/>
        </w:rPr>
        <w:t>same</w:t>
      </w:r>
      <w:r w:rsidRPr="00EE7169">
        <w:rPr>
          <w:rFonts w:ascii="Garamond" w:hAnsi="Garamond"/>
          <w:kern w:val="0"/>
          <w:sz w:val="22"/>
          <w:szCs w:val="24"/>
        </w:rPr>
        <w:t xml:space="preserve"> city with the seat of the government with which it is affiliated and SOEs that are located in a </w:t>
      </w:r>
      <w:r w:rsidRPr="00EE7169">
        <w:rPr>
          <w:rFonts w:ascii="Garamond" w:hAnsi="Garamond"/>
          <w:i/>
          <w:kern w:val="0"/>
          <w:sz w:val="22"/>
          <w:szCs w:val="24"/>
        </w:rPr>
        <w:t xml:space="preserve">different </w:t>
      </w:r>
      <w:r w:rsidRPr="00EE7169">
        <w:rPr>
          <w:rFonts w:ascii="Garamond" w:hAnsi="Garamond"/>
          <w:kern w:val="0"/>
          <w:sz w:val="22"/>
          <w:szCs w:val="24"/>
        </w:rPr>
        <w:t xml:space="preserve">city. Number of firms in each subsample is listed in brackets. A firm is </w:t>
      </w:r>
      <w:r w:rsidRPr="00EE7169">
        <w:rPr>
          <w:rFonts w:ascii="Garamond" w:eastAsia="STFangsong" w:hAnsi="Garamond"/>
          <w:i/>
          <w:szCs w:val="21"/>
        </w:rPr>
        <w:t>decentralized</w:t>
      </w:r>
      <w:r w:rsidRPr="00EE7169">
        <w:rPr>
          <w:rFonts w:ascii="Garamond" w:eastAsia="STFangsong" w:hAnsi="Garamond"/>
          <w:szCs w:val="21"/>
        </w:rPr>
        <w:t xml:space="preserve"> if its</w:t>
      </w:r>
      <w:r w:rsidRPr="00EE7169">
        <w:rPr>
          <w:rFonts w:ascii="Garamond" w:hAnsi="Garamond"/>
          <w:color w:val="000000"/>
          <w:kern w:val="0"/>
          <w:szCs w:val="21"/>
        </w:rPr>
        <w:t xml:space="preserve"> affiliation level is lowered.</w:t>
      </w:r>
    </w:p>
    <w:p w14:paraId="36F2E4AD" w14:textId="77777777" w:rsidR="009C4572" w:rsidRPr="00EE7169" w:rsidRDefault="009C4572" w:rsidP="009C4572">
      <w:pPr>
        <w:widowControl/>
        <w:rPr>
          <w:rFonts w:ascii="Garamond" w:hAnsi="Garamond"/>
          <w:b/>
          <w:position w:val="-10"/>
          <w:sz w:val="28"/>
        </w:rPr>
      </w:pPr>
    </w:p>
    <w:p w14:paraId="1F3B9837" w14:textId="77777777" w:rsidR="00F451FE" w:rsidRPr="00EE7169" w:rsidRDefault="00F451FE">
      <w:pPr>
        <w:widowControl/>
        <w:jc w:val="left"/>
        <w:rPr>
          <w:rFonts w:ascii="Garamond" w:eastAsia="STFangsong" w:hAnsi="Garamond"/>
          <w:kern w:val="0"/>
          <w:sz w:val="18"/>
          <w:szCs w:val="18"/>
        </w:rPr>
      </w:pPr>
      <w:r w:rsidRPr="00EE7169">
        <w:rPr>
          <w:rFonts w:ascii="Garamond" w:eastAsia="STFangsong" w:hAnsi="Garamond"/>
          <w:kern w:val="0"/>
          <w:sz w:val="18"/>
          <w:szCs w:val="18"/>
        </w:rPr>
        <w:br w:type="page"/>
      </w:r>
    </w:p>
    <w:p w14:paraId="169D057C" w14:textId="77777777" w:rsidR="005D2191" w:rsidRDefault="005D2191" w:rsidP="00191DEA">
      <w:pPr>
        <w:autoSpaceDE w:val="0"/>
        <w:autoSpaceDN w:val="0"/>
        <w:adjustRightInd w:val="0"/>
        <w:jc w:val="center"/>
        <w:rPr>
          <w:rFonts w:ascii="Garamond" w:hAnsi="Garamond"/>
          <w:b/>
          <w:kern w:val="0"/>
          <w:sz w:val="24"/>
          <w:szCs w:val="24"/>
        </w:rPr>
        <w:sectPr w:rsidR="005D2191" w:rsidSect="008D5801">
          <w:footerReference w:type="default" r:id="rId15"/>
          <w:pgSz w:w="12240" w:h="15840"/>
          <w:pgMar w:top="1440" w:right="1440" w:bottom="1440" w:left="1440" w:header="720" w:footer="720" w:gutter="0"/>
          <w:cols w:space="720"/>
          <w:noEndnote/>
          <w:docGrid w:linePitch="286"/>
        </w:sectPr>
      </w:pPr>
    </w:p>
    <w:p w14:paraId="7F114AAA" w14:textId="1A6E5AC5" w:rsidR="00046509" w:rsidRPr="005D2191" w:rsidRDefault="007C4D78" w:rsidP="00191DEA">
      <w:pPr>
        <w:autoSpaceDE w:val="0"/>
        <w:autoSpaceDN w:val="0"/>
        <w:adjustRightInd w:val="0"/>
        <w:jc w:val="center"/>
        <w:rPr>
          <w:rFonts w:ascii="Times New Roman" w:hAnsi="Times New Roman"/>
          <w:b/>
          <w:kern w:val="0"/>
          <w:sz w:val="20"/>
          <w:szCs w:val="20"/>
        </w:rPr>
      </w:pPr>
      <w:r w:rsidRPr="005D2191">
        <w:rPr>
          <w:rFonts w:ascii="Times New Roman" w:hAnsi="Times New Roman"/>
          <w:b/>
          <w:kern w:val="0"/>
          <w:sz w:val="20"/>
          <w:szCs w:val="20"/>
        </w:rPr>
        <w:lastRenderedPageBreak/>
        <w:t xml:space="preserve">Table </w:t>
      </w:r>
      <w:r w:rsidR="004D221A" w:rsidRPr="005D2191">
        <w:rPr>
          <w:rFonts w:ascii="Times New Roman" w:hAnsi="Times New Roman"/>
          <w:b/>
          <w:kern w:val="0"/>
          <w:sz w:val="20"/>
          <w:szCs w:val="20"/>
        </w:rPr>
        <w:t>4</w:t>
      </w:r>
      <w:r w:rsidR="000F6798" w:rsidRPr="005D2191">
        <w:rPr>
          <w:rFonts w:ascii="Times New Roman" w:hAnsi="Times New Roman"/>
          <w:b/>
          <w:kern w:val="0"/>
          <w:sz w:val="20"/>
          <w:szCs w:val="20"/>
        </w:rPr>
        <w:t>.</w:t>
      </w:r>
      <w:r w:rsidR="00B002D9" w:rsidRPr="005D2191">
        <w:rPr>
          <w:rFonts w:ascii="Times New Roman" w:hAnsi="Times New Roman"/>
          <w:b/>
          <w:kern w:val="0"/>
          <w:sz w:val="20"/>
          <w:szCs w:val="20"/>
        </w:rPr>
        <w:t xml:space="preserve"> D</w:t>
      </w:r>
      <w:r w:rsidR="00CB501B" w:rsidRPr="005D2191">
        <w:rPr>
          <w:rFonts w:ascii="Times New Roman" w:hAnsi="Times New Roman"/>
          <w:b/>
          <w:kern w:val="0"/>
          <w:sz w:val="20"/>
          <w:szCs w:val="20"/>
        </w:rPr>
        <w:t>etermination</w:t>
      </w:r>
      <w:r w:rsidR="004F3D7D" w:rsidRPr="005D2191">
        <w:rPr>
          <w:rFonts w:ascii="Times New Roman" w:hAnsi="Times New Roman"/>
          <w:b/>
          <w:kern w:val="0"/>
          <w:sz w:val="20"/>
          <w:szCs w:val="20"/>
        </w:rPr>
        <w:t xml:space="preserve"> of </w:t>
      </w:r>
      <w:r w:rsidR="000F6798" w:rsidRPr="005D2191">
        <w:rPr>
          <w:rFonts w:ascii="Times New Roman" w:hAnsi="Times New Roman"/>
          <w:b/>
          <w:kern w:val="0"/>
          <w:sz w:val="20"/>
          <w:szCs w:val="20"/>
        </w:rPr>
        <w:t>D</w:t>
      </w:r>
      <w:r w:rsidR="00B002D9" w:rsidRPr="005D2191">
        <w:rPr>
          <w:rFonts w:ascii="Times New Roman" w:hAnsi="Times New Roman"/>
          <w:b/>
          <w:kern w:val="0"/>
          <w:sz w:val="20"/>
          <w:szCs w:val="20"/>
        </w:rPr>
        <w:t>ecentralization</w:t>
      </w:r>
      <w:r w:rsidR="00F76DA1" w:rsidRPr="005D2191">
        <w:rPr>
          <w:rFonts w:ascii="Times New Roman" w:hAnsi="Times New Roman"/>
          <w:b/>
          <w:kern w:val="0"/>
          <w:sz w:val="20"/>
          <w:szCs w:val="20"/>
        </w:rPr>
        <w:t xml:space="preserve"> </w:t>
      </w:r>
      <w:r w:rsidR="000F6798" w:rsidRPr="005D2191">
        <w:rPr>
          <w:rFonts w:ascii="Times New Roman" w:hAnsi="Times New Roman"/>
          <w:b/>
          <w:kern w:val="0"/>
          <w:sz w:val="20"/>
          <w:szCs w:val="20"/>
        </w:rPr>
        <w:t xml:space="preserve">- </w:t>
      </w:r>
      <w:r w:rsidR="00F76DA1" w:rsidRPr="005D2191">
        <w:rPr>
          <w:rFonts w:ascii="Times New Roman" w:hAnsi="Times New Roman"/>
          <w:b/>
          <w:kern w:val="0"/>
          <w:sz w:val="20"/>
          <w:szCs w:val="20"/>
        </w:rPr>
        <w:t xml:space="preserve">Baseline </w:t>
      </w:r>
      <w:r w:rsidR="000F6798" w:rsidRPr="005D2191">
        <w:rPr>
          <w:rFonts w:ascii="Times New Roman" w:hAnsi="Times New Roman"/>
          <w:b/>
          <w:kern w:val="0"/>
          <w:sz w:val="20"/>
          <w:szCs w:val="20"/>
        </w:rPr>
        <w:t>Results</w:t>
      </w:r>
    </w:p>
    <w:tbl>
      <w:tblPr>
        <w:tblW w:w="5668" w:type="pct"/>
        <w:tblInd w:w="-634" w:type="dxa"/>
        <w:tblLayout w:type="fixed"/>
        <w:tblCellMar>
          <w:left w:w="75" w:type="dxa"/>
          <w:right w:w="75" w:type="dxa"/>
        </w:tblCellMar>
        <w:tblLook w:val="0000" w:firstRow="0" w:lastRow="0" w:firstColumn="0" w:lastColumn="0" w:noHBand="0" w:noVBand="0"/>
      </w:tblPr>
      <w:tblGrid>
        <w:gridCol w:w="2793"/>
        <w:gridCol w:w="1486"/>
        <w:gridCol w:w="1487"/>
        <w:gridCol w:w="1487"/>
        <w:gridCol w:w="1487"/>
        <w:gridCol w:w="1487"/>
        <w:gridCol w:w="1487"/>
        <w:gridCol w:w="1487"/>
        <w:gridCol w:w="1490"/>
      </w:tblGrid>
      <w:tr w:rsidR="000E79A6" w:rsidRPr="005D2191" w14:paraId="3C48C510" w14:textId="77777777" w:rsidTr="006677D1">
        <w:tc>
          <w:tcPr>
            <w:tcW w:w="951" w:type="pct"/>
            <w:tcBorders>
              <w:top w:val="single" w:sz="4" w:space="0" w:color="auto"/>
              <w:left w:val="nil"/>
              <w:bottom w:val="single" w:sz="6" w:space="0" w:color="auto"/>
              <w:right w:val="nil"/>
            </w:tcBorders>
          </w:tcPr>
          <w:p w14:paraId="6E7EA548" w14:textId="77777777" w:rsidR="000E79A6" w:rsidRPr="005D2191" w:rsidRDefault="000E79A6" w:rsidP="000E79A6">
            <w:pPr>
              <w:autoSpaceDE w:val="0"/>
              <w:autoSpaceDN w:val="0"/>
              <w:adjustRightInd w:val="0"/>
              <w:jc w:val="center"/>
              <w:rPr>
                <w:rFonts w:ascii="Times New Roman" w:hAnsi="Times New Roman"/>
                <w:kern w:val="0"/>
                <w:sz w:val="20"/>
                <w:szCs w:val="20"/>
              </w:rPr>
            </w:pPr>
          </w:p>
        </w:tc>
        <w:tc>
          <w:tcPr>
            <w:tcW w:w="506" w:type="pct"/>
            <w:tcBorders>
              <w:top w:val="single" w:sz="4" w:space="0" w:color="auto"/>
              <w:left w:val="nil"/>
              <w:bottom w:val="single" w:sz="6" w:space="0" w:color="auto"/>
              <w:right w:val="nil"/>
            </w:tcBorders>
          </w:tcPr>
          <w:p w14:paraId="215AC8A2" w14:textId="0D72CB1A"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(1)</w:t>
            </w:r>
          </w:p>
          <w:p w14:paraId="73D8A491" w14:textId="32CFB7AF"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Whole Sample</w:t>
            </w:r>
          </w:p>
        </w:tc>
        <w:tc>
          <w:tcPr>
            <w:tcW w:w="506" w:type="pct"/>
            <w:tcBorders>
              <w:top w:val="single" w:sz="4" w:space="0" w:color="auto"/>
              <w:left w:val="nil"/>
              <w:bottom w:val="single" w:sz="6" w:space="0" w:color="auto"/>
              <w:right w:val="nil"/>
            </w:tcBorders>
          </w:tcPr>
          <w:p w14:paraId="2CDCF354" w14:textId="1FFDBDF1"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w:t>
            </w:r>
            <w:r>
              <w:rPr>
                <w:rFonts w:ascii="Times New Roman" w:hAnsi="Times New Roman"/>
                <w:kern w:val="0"/>
                <w:sz w:val="20"/>
                <w:szCs w:val="20"/>
              </w:rPr>
              <w:t>2</w:t>
            </w:r>
            <w:r w:rsidRPr="005D2191">
              <w:rPr>
                <w:rFonts w:ascii="Times New Roman" w:hAnsi="Times New Roman"/>
                <w:kern w:val="0"/>
                <w:sz w:val="20"/>
                <w:szCs w:val="20"/>
              </w:rPr>
              <w:t>)</w:t>
            </w:r>
          </w:p>
          <w:p w14:paraId="336F98EF" w14:textId="2D4E8D4F"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Central SOE</w:t>
            </w:r>
          </w:p>
        </w:tc>
        <w:tc>
          <w:tcPr>
            <w:tcW w:w="506" w:type="pct"/>
            <w:tcBorders>
              <w:top w:val="single" w:sz="4" w:space="0" w:color="auto"/>
              <w:left w:val="nil"/>
              <w:bottom w:val="single" w:sz="6" w:space="0" w:color="auto"/>
              <w:right w:val="nil"/>
            </w:tcBorders>
          </w:tcPr>
          <w:p w14:paraId="5B4AE43C" w14:textId="350D1C9D"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w:t>
            </w:r>
            <w:r>
              <w:rPr>
                <w:rFonts w:ascii="Times New Roman" w:hAnsi="Times New Roman"/>
                <w:kern w:val="0"/>
                <w:sz w:val="20"/>
                <w:szCs w:val="20"/>
              </w:rPr>
              <w:t>3</w:t>
            </w:r>
            <w:r w:rsidRPr="005D2191">
              <w:rPr>
                <w:rFonts w:ascii="Times New Roman" w:hAnsi="Times New Roman"/>
                <w:kern w:val="0"/>
                <w:sz w:val="20"/>
                <w:szCs w:val="20"/>
              </w:rPr>
              <w:t>)</w:t>
            </w:r>
          </w:p>
          <w:p w14:paraId="6322C2B6"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Province SOE</w:t>
            </w:r>
          </w:p>
        </w:tc>
        <w:tc>
          <w:tcPr>
            <w:tcW w:w="506" w:type="pct"/>
            <w:tcBorders>
              <w:top w:val="single" w:sz="4" w:space="0" w:color="auto"/>
              <w:left w:val="nil"/>
              <w:bottom w:val="single" w:sz="6" w:space="0" w:color="auto"/>
              <w:right w:val="single" w:sz="4" w:space="0" w:color="auto"/>
            </w:tcBorders>
          </w:tcPr>
          <w:p w14:paraId="6B678976" w14:textId="175716A5"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w:t>
            </w:r>
            <w:r>
              <w:rPr>
                <w:rFonts w:ascii="Times New Roman" w:hAnsi="Times New Roman"/>
                <w:kern w:val="0"/>
                <w:sz w:val="20"/>
                <w:szCs w:val="20"/>
              </w:rPr>
              <w:t>4</w:t>
            </w:r>
            <w:r w:rsidRPr="005D2191">
              <w:rPr>
                <w:rFonts w:ascii="Times New Roman" w:hAnsi="Times New Roman"/>
                <w:kern w:val="0"/>
                <w:sz w:val="20"/>
                <w:szCs w:val="20"/>
              </w:rPr>
              <w:t>)</w:t>
            </w:r>
          </w:p>
          <w:p w14:paraId="4794B60E" w14:textId="7E115FD6"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Municipal SOE</w:t>
            </w:r>
          </w:p>
        </w:tc>
        <w:tc>
          <w:tcPr>
            <w:tcW w:w="506" w:type="pct"/>
            <w:tcBorders>
              <w:top w:val="single" w:sz="4" w:space="0" w:color="auto"/>
              <w:left w:val="single" w:sz="4" w:space="0" w:color="auto"/>
              <w:bottom w:val="single" w:sz="6" w:space="0" w:color="auto"/>
              <w:right w:val="nil"/>
            </w:tcBorders>
          </w:tcPr>
          <w:p w14:paraId="127A54D7" w14:textId="49AA3720"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w:t>
            </w:r>
            <w:r>
              <w:rPr>
                <w:rFonts w:ascii="Times New Roman" w:hAnsi="Times New Roman"/>
                <w:kern w:val="0"/>
                <w:sz w:val="20"/>
                <w:szCs w:val="20"/>
              </w:rPr>
              <w:t>5</w:t>
            </w:r>
            <w:r w:rsidRPr="005D2191">
              <w:rPr>
                <w:rFonts w:ascii="Times New Roman" w:hAnsi="Times New Roman"/>
                <w:kern w:val="0"/>
                <w:sz w:val="20"/>
                <w:szCs w:val="20"/>
              </w:rPr>
              <w:t>)</w:t>
            </w:r>
          </w:p>
          <w:p w14:paraId="13EC99FF" w14:textId="7A15865B"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Whole Sample</w:t>
            </w:r>
          </w:p>
        </w:tc>
        <w:tc>
          <w:tcPr>
            <w:tcW w:w="506" w:type="pct"/>
            <w:tcBorders>
              <w:top w:val="single" w:sz="4" w:space="0" w:color="auto"/>
              <w:left w:val="nil"/>
              <w:bottom w:val="single" w:sz="6" w:space="0" w:color="auto"/>
              <w:right w:val="nil"/>
            </w:tcBorders>
          </w:tcPr>
          <w:p w14:paraId="0A14216D" w14:textId="5FA68FEE"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(6)</w:t>
            </w:r>
          </w:p>
          <w:p w14:paraId="41530E2A"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Central SOE</w:t>
            </w:r>
          </w:p>
        </w:tc>
        <w:tc>
          <w:tcPr>
            <w:tcW w:w="506" w:type="pct"/>
            <w:tcBorders>
              <w:top w:val="single" w:sz="4" w:space="0" w:color="auto"/>
              <w:left w:val="nil"/>
              <w:bottom w:val="single" w:sz="6" w:space="0" w:color="auto"/>
              <w:right w:val="nil"/>
            </w:tcBorders>
          </w:tcPr>
          <w:p w14:paraId="2A534A9C" w14:textId="279F5465"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(7)</w:t>
            </w:r>
          </w:p>
          <w:p w14:paraId="586204FB"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Province SOE</w:t>
            </w:r>
          </w:p>
        </w:tc>
        <w:tc>
          <w:tcPr>
            <w:tcW w:w="507" w:type="pct"/>
            <w:tcBorders>
              <w:top w:val="single" w:sz="4" w:space="0" w:color="auto"/>
              <w:left w:val="nil"/>
              <w:bottom w:val="single" w:sz="6" w:space="0" w:color="auto"/>
              <w:right w:val="nil"/>
            </w:tcBorders>
          </w:tcPr>
          <w:p w14:paraId="7B968B33" w14:textId="26757871"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(8)</w:t>
            </w:r>
          </w:p>
          <w:p w14:paraId="436607DF" w14:textId="59672A79"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Municipal SOE</w:t>
            </w:r>
          </w:p>
        </w:tc>
      </w:tr>
      <w:tr w:rsidR="000E79A6" w:rsidRPr="005D2191" w14:paraId="665A685D" w14:textId="77777777" w:rsidTr="006677D1">
        <w:tc>
          <w:tcPr>
            <w:tcW w:w="951" w:type="pct"/>
            <w:vMerge w:val="restart"/>
            <w:tcBorders>
              <w:top w:val="nil"/>
              <w:left w:val="nil"/>
              <w:right w:val="nil"/>
            </w:tcBorders>
          </w:tcPr>
          <w:p w14:paraId="4EBCC27D" w14:textId="368D69AE" w:rsidR="000E79A6" w:rsidRPr="005D2191" w:rsidRDefault="000E79A6" w:rsidP="000E79A6">
            <w:pPr>
              <w:autoSpaceDE w:val="0"/>
              <w:autoSpaceDN w:val="0"/>
              <w:adjustRightInd w:val="0"/>
              <w:spacing w:after="60"/>
              <w:jc w:val="left"/>
              <w:rPr>
                <w:rFonts w:ascii="Times New Roman" w:hAnsi="Times New Roman"/>
                <w:kern w:val="0"/>
                <w:sz w:val="20"/>
                <w:szCs w:val="20"/>
              </w:rPr>
            </w:pPr>
            <w:r w:rsidRPr="005D2191">
              <w:rPr>
                <w:rFonts w:ascii="Times New Roman" w:hAnsi="Times New Roman"/>
                <w:kern w:val="0"/>
                <w:sz w:val="20"/>
                <w:szCs w:val="20"/>
              </w:rPr>
              <w:t>Distance</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5F27CFD5" w14:textId="174CF7F9"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0.0063***</w:t>
            </w:r>
          </w:p>
        </w:tc>
        <w:tc>
          <w:tcPr>
            <w:tcW w:w="506" w:type="pct"/>
            <w:tcBorders>
              <w:top w:val="nil"/>
              <w:left w:val="nil"/>
              <w:bottom w:val="nil"/>
              <w:right w:val="nil"/>
            </w:tcBorders>
          </w:tcPr>
          <w:p w14:paraId="13BC7DAA" w14:textId="1DCFD131"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0.0049**</w:t>
            </w:r>
          </w:p>
        </w:tc>
        <w:tc>
          <w:tcPr>
            <w:tcW w:w="506" w:type="pct"/>
            <w:tcBorders>
              <w:top w:val="nil"/>
              <w:left w:val="nil"/>
              <w:bottom w:val="nil"/>
              <w:right w:val="nil"/>
            </w:tcBorders>
          </w:tcPr>
          <w:p w14:paraId="412D908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0.0042***</w:t>
            </w:r>
          </w:p>
        </w:tc>
        <w:tc>
          <w:tcPr>
            <w:tcW w:w="506" w:type="pct"/>
            <w:tcBorders>
              <w:top w:val="nil"/>
              <w:left w:val="nil"/>
              <w:bottom w:val="nil"/>
              <w:right w:val="single" w:sz="4" w:space="0" w:color="auto"/>
            </w:tcBorders>
          </w:tcPr>
          <w:p w14:paraId="0C0ED74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0.0055***</w:t>
            </w:r>
          </w:p>
        </w:tc>
        <w:tc>
          <w:tcPr>
            <w:tcW w:w="506" w:type="pct"/>
            <w:tcBorders>
              <w:top w:val="nil"/>
              <w:left w:val="single" w:sz="4" w:space="0" w:color="auto"/>
              <w:bottom w:val="nil"/>
              <w:right w:val="nil"/>
            </w:tcBorders>
          </w:tcPr>
          <w:p w14:paraId="035E94B6"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623C3B5C" w14:textId="76DC7AC3"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3BBE29A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7" w:type="pct"/>
            <w:tcBorders>
              <w:top w:val="nil"/>
              <w:left w:val="nil"/>
              <w:bottom w:val="nil"/>
              <w:right w:val="nil"/>
            </w:tcBorders>
          </w:tcPr>
          <w:p w14:paraId="09503DA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r>
      <w:tr w:rsidR="000E79A6" w:rsidRPr="005D2191" w14:paraId="061C03D8" w14:textId="77777777" w:rsidTr="006677D1">
        <w:tc>
          <w:tcPr>
            <w:tcW w:w="951" w:type="pct"/>
            <w:vMerge/>
            <w:tcBorders>
              <w:left w:val="nil"/>
              <w:bottom w:val="nil"/>
              <w:right w:val="nil"/>
            </w:tcBorders>
          </w:tcPr>
          <w:p w14:paraId="3562AE2C"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2E4BC43F" w14:textId="7ED1CC6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(0.0008)</w:t>
            </w:r>
          </w:p>
        </w:tc>
        <w:tc>
          <w:tcPr>
            <w:tcW w:w="506" w:type="pct"/>
            <w:tcBorders>
              <w:top w:val="nil"/>
              <w:left w:val="nil"/>
              <w:bottom w:val="nil"/>
              <w:right w:val="nil"/>
            </w:tcBorders>
          </w:tcPr>
          <w:p w14:paraId="6AE79BD7" w14:textId="2F45CFC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(0.0022)</w:t>
            </w:r>
          </w:p>
        </w:tc>
        <w:tc>
          <w:tcPr>
            <w:tcW w:w="506" w:type="pct"/>
            <w:tcBorders>
              <w:top w:val="nil"/>
              <w:left w:val="nil"/>
              <w:bottom w:val="nil"/>
              <w:right w:val="nil"/>
            </w:tcBorders>
          </w:tcPr>
          <w:p w14:paraId="525270F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(0.0007)</w:t>
            </w:r>
          </w:p>
        </w:tc>
        <w:tc>
          <w:tcPr>
            <w:tcW w:w="506" w:type="pct"/>
            <w:tcBorders>
              <w:top w:val="nil"/>
              <w:left w:val="nil"/>
              <w:bottom w:val="nil"/>
              <w:right w:val="single" w:sz="4" w:space="0" w:color="auto"/>
            </w:tcBorders>
          </w:tcPr>
          <w:p w14:paraId="3FC519FC"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(0.0009)</w:t>
            </w:r>
          </w:p>
        </w:tc>
        <w:tc>
          <w:tcPr>
            <w:tcW w:w="506" w:type="pct"/>
            <w:tcBorders>
              <w:top w:val="nil"/>
              <w:left w:val="single" w:sz="4" w:space="0" w:color="auto"/>
              <w:bottom w:val="nil"/>
              <w:right w:val="nil"/>
            </w:tcBorders>
          </w:tcPr>
          <w:p w14:paraId="4D673368"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3D0DA59C" w14:textId="5E7BC5FC"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4F972B6F"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7" w:type="pct"/>
            <w:tcBorders>
              <w:top w:val="nil"/>
              <w:left w:val="nil"/>
              <w:bottom w:val="nil"/>
              <w:right w:val="nil"/>
            </w:tcBorders>
          </w:tcPr>
          <w:p w14:paraId="756A3263"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r>
      <w:tr w:rsidR="000E79A6" w:rsidRPr="005D2191" w14:paraId="4E09FA83" w14:textId="77777777" w:rsidTr="006677D1">
        <w:tc>
          <w:tcPr>
            <w:tcW w:w="951" w:type="pct"/>
            <w:vMerge w:val="restart"/>
            <w:tcBorders>
              <w:left w:val="nil"/>
              <w:right w:val="nil"/>
            </w:tcBorders>
          </w:tcPr>
          <w:p w14:paraId="7BCC1CF4" w14:textId="359CC2CC" w:rsidR="000E79A6" w:rsidRPr="005D2191" w:rsidRDefault="000E79A6" w:rsidP="000E79A6">
            <w:pPr>
              <w:autoSpaceDE w:val="0"/>
              <w:autoSpaceDN w:val="0"/>
              <w:adjustRightInd w:val="0"/>
              <w:spacing w:after="60"/>
              <w:jc w:val="left"/>
              <w:rPr>
                <w:rFonts w:ascii="Times New Roman" w:hAnsi="Times New Roman"/>
                <w:kern w:val="0"/>
                <w:sz w:val="20"/>
                <w:szCs w:val="20"/>
              </w:rPr>
            </w:pPr>
            <w:r w:rsidRPr="005D2191">
              <w:rPr>
                <w:rFonts w:ascii="Times New Roman" w:hAnsi="Times New Roman"/>
                <w:kern w:val="0"/>
                <w:sz w:val="20"/>
                <w:szCs w:val="20"/>
              </w:rPr>
              <w:t>Different City</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425B0630" w14:textId="519C113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1DE72E87" w14:textId="7E48E955"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48F0B7A0"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single" w:sz="4" w:space="0" w:color="auto"/>
            </w:tcBorders>
          </w:tcPr>
          <w:p w14:paraId="55C15302"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single" w:sz="4" w:space="0" w:color="auto"/>
              <w:bottom w:val="nil"/>
              <w:right w:val="nil"/>
            </w:tcBorders>
          </w:tcPr>
          <w:p w14:paraId="3061C648" w14:textId="26D0517D"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0.0272***</w:t>
            </w:r>
          </w:p>
        </w:tc>
        <w:tc>
          <w:tcPr>
            <w:tcW w:w="506" w:type="pct"/>
            <w:tcBorders>
              <w:top w:val="nil"/>
              <w:left w:val="nil"/>
              <w:bottom w:val="nil"/>
              <w:right w:val="nil"/>
            </w:tcBorders>
          </w:tcPr>
          <w:p w14:paraId="620B3DE7" w14:textId="0B2BF4FA"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0.0187***</w:t>
            </w:r>
          </w:p>
        </w:tc>
        <w:tc>
          <w:tcPr>
            <w:tcW w:w="506" w:type="pct"/>
            <w:tcBorders>
              <w:top w:val="nil"/>
              <w:left w:val="nil"/>
              <w:bottom w:val="nil"/>
              <w:right w:val="nil"/>
            </w:tcBorders>
          </w:tcPr>
          <w:p w14:paraId="6452A972"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0.0147***</w:t>
            </w:r>
          </w:p>
        </w:tc>
        <w:tc>
          <w:tcPr>
            <w:tcW w:w="507" w:type="pct"/>
            <w:tcBorders>
              <w:top w:val="nil"/>
              <w:left w:val="nil"/>
              <w:bottom w:val="nil"/>
              <w:right w:val="nil"/>
            </w:tcBorders>
          </w:tcPr>
          <w:p w14:paraId="523B7525"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0.0444***</w:t>
            </w:r>
          </w:p>
        </w:tc>
      </w:tr>
      <w:tr w:rsidR="000E79A6" w:rsidRPr="005D2191" w14:paraId="25E3620C" w14:textId="77777777" w:rsidTr="006677D1">
        <w:tc>
          <w:tcPr>
            <w:tcW w:w="951" w:type="pct"/>
            <w:vMerge/>
            <w:tcBorders>
              <w:left w:val="nil"/>
              <w:bottom w:val="nil"/>
              <w:right w:val="nil"/>
            </w:tcBorders>
          </w:tcPr>
          <w:p w14:paraId="6FDC46E8"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31CD4BA1" w14:textId="73DAC73C"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401B91D4" w14:textId="195F3E7F"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nil"/>
            </w:tcBorders>
          </w:tcPr>
          <w:p w14:paraId="7CB64D0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nil"/>
              <w:bottom w:val="nil"/>
              <w:right w:val="single" w:sz="4" w:space="0" w:color="auto"/>
            </w:tcBorders>
          </w:tcPr>
          <w:p w14:paraId="78B6E028"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p>
        </w:tc>
        <w:tc>
          <w:tcPr>
            <w:tcW w:w="506" w:type="pct"/>
            <w:tcBorders>
              <w:top w:val="nil"/>
              <w:left w:val="single" w:sz="4" w:space="0" w:color="auto"/>
              <w:bottom w:val="nil"/>
              <w:right w:val="nil"/>
            </w:tcBorders>
          </w:tcPr>
          <w:p w14:paraId="5733603E" w14:textId="20D2E8C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(0.0030)</w:t>
            </w:r>
          </w:p>
        </w:tc>
        <w:tc>
          <w:tcPr>
            <w:tcW w:w="506" w:type="pct"/>
            <w:tcBorders>
              <w:top w:val="nil"/>
              <w:left w:val="nil"/>
              <w:bottom w:val="nil"/>
              <w:right w:val="nil"/>
            </w:tcBorders>
          </w:tcPr>
          <w:p w14:paraId="2F4B91F0" w14:textId="3200791F"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(0.0047)</w:t>
            </w:r>
          </w:p>
        </w:tc>
        <w:tc>
          <w:tcPr>
            <w:tcW w:w="506" w:type="pct"/>
            <w:tcBorders>
              <w:top w:val="nil"/>
              <w:left w:val="nil"/>
              <w:bottom w:val="nil"/>
              <w:right w:val="nil"/>
            </w:tcBorders>
          </w:tcPr>
          <w:p w14:paraId="012A830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(0.0030)</w:t>
            </w:r>
          </w:p>
        </w:tc>
        <w:tc>
          <w:tcPr>
            <w:tcW w:w="507" w:type="pct"/>
            <w:tcBorders>
              <w:top w:val="nil"/>
              <w:left w:val="nil"/>
              <w:bottom w:val="nil"/>
              <w:right w:val="nil"/>
            </w:tcBorders>
          </w:tcPr>
          <w:p w14:paraId="56F23B8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(0.0092)</w:t>
            </w:r>
          </w:p>
        </w:tc>
      </w:tr>
      <w:tr w:rsidR="000E79A6" w:rsidRPr="005D2191" w14:paraId="02643F64" w14:textId="77777777" w:rsidTr="006677D1">
        <w:tc>
          <w:tcPr>
            <w:tcW w:w="951" w:type="pct"/>
            <w:vMerge w:val="restart"/>
            <w:tcBorders>
              <w:top w:val="nil"/>
              <w:left w:val="nil"/>
              <w:right w:val="nil"/>
            </w:tcBorders>
          </w:tcPr>
          <w:p w14:paraId="1F3532CA" w14:textId="7C89540F" w:rsidR="000E79A6" w:rsidRPr="005D2191" w:rsidRDefault="000E79A6" w:rsidP="000E79A6">
            <w:pPr>
              <w:autoSpaceDE w:val="0"/>
              <w:autoSpaceDN w:val="0"/>
              <w:adjustRightInd w:val="0"/>
              <w:spacing w:after="60"/>
              <w:jc w:val="left"/>
              <w:rPr>
                <w:rFonts w:ascii="Times New Roman" w:hAnsi="Times New Roman"/>
                <w:kern w:val="0"/>
                <w:sz w:val="20"/>
                <w:szCs w:val="20"/>
              </w:rPr>
            </w:pPr>
            <w:r w:rsidRPr="005D2191">
              <w:rPr>
                <w:rFonts w:ascii="Times New Roman" w:hAnsi="Times New Roman"/>
                <w:kern w:val="0"/>
                <w:sz w:val="20"/>
                <w:szCs w:val="20"/>
              </w:rPr>
              <w:t>Firm asset</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13F1002A" w14:textId="1C761458"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-0.0024***</w:t>
            </w:r>
          </w:p>
        </w:tc>
        <w:tc>
          <w:tcPr>
            <w:tcW w:w="506" w:type="pct"/>
            <w:tcBorders>
              <w:top w:val="nil"/>
              <w:left w:val="nil"/>
              <w:bottom w:val="nil"/>
              <w:right w:val="nil"/>
            </w:tcBorders>
          </w:tcPr>
          <w:p w14:paraId="70DA917C" w14:textId="2CC6B58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-0.0036***</w:t>
            </w:r>
          </w:p>
        </w:tc>
        <w:tc>
          <w:tcPr>
            <w:tcW w:w="506" w:type="pct"/>
            <w:tcBorders>
              <w:top w:val="nil"/>
              <w:left w:val="nil"/>
              <w:bottom w:val="nil"/>
              <w:right w:val="nil"/>
            </w:tcBorders>
          </w:tcPr>
          <w:p w14:paraId="0C0C404E"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-0.0020***</w:t>
            </w:r>
          </w:p>
        </w:tc>
        <w:tc>
          <w:tcPr>
            <w:tcW w:w="506" w:type="pct"/>
            <w:tcBorders>
              <w:top w:val="nil"/>
              <w:left w:val="nil"/>
              <w:bottom w:val="nil"/>
              <w:right w:val="single" w:sz="4" w:space="0" w:color="auto"/>
            </w:tcBorders>
          </w:tcPr>
          <w:p w14:paraId="4D0BA65C"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-0.0020***</w:t>
            </w:r>
          </w:p>
        </w:tc>
        <w:tc>
          <w:tcPr>
            <w:tcW w:w="506" w:type="pct"/>
            <w:tcBorders>
              <w:top w:val="nil"/>
              <w:left w:val="single" w:sz="4" w:space="0" w:color="auto"/>
              <w:bottom w:val="nil"/>
              <w:right w:val="nil"/>
            </w:tcBorders>
          </w:tcPr>
          <w:p w14:paraId="44744A43" w14:textId="5638CEE4"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-0.0025***</w:t>
            </w:r>
          </w:p>
        </w:tc>
        <w:tc>
          <w:tcPr>
            <w:tcW w:w="506" w:type="pct"/>
            <w:tcBorders>
              <w:top w:val="nil"/>
              <w:left w:val="nil"/>
              <w:bottom w:val="nil"/>
              <w:right w:val="nil"/>
            </w:tcBorders>
          </w:tcPr>
          <w:p w14:paraId="5972CB78" w14:textId="69001D63"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-0.0037***</w:t>
            </w:r>
          </w:p>
        </w:tc>
        <w:tc>
          <w:tcPr>
            <w:tcW w:w="506" w:type="pct"/>
            <w:tcBorders>
              <w:top w:val="nil"/>
              <w:left w:val="nil"/>
              <w:bottom w:val="nil"/>
              <w:right w:val="nil"/>
            </w:tcBorders>
          </w:tcPr>
          <w:p w14:paraId="23F4958F"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-0.0021***</w:t>
            </w:r>
          </w:p>
        </w:tc>
        <w:tc>
          <w:tcPr>
            <w:tcW w:w="507" w:type="pct"/>
            <w:tcBorders>
              <w:top w:val="nil"/>
              <w:left w:val="nil"/>
              <w:bottom w:val="nil"/>
              <w:right w:val="nil"/>
            </w:tcBorders>
          </w:tcPr>
          <w:p w14:paraId="791A560E"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-0.0018***</w:t>
            </w:r>
          </w:p>
        </w:tc>
      </w:tr>
      <w:tr w:rsidR="000E79A6" w:rsidRPr="005D2191" w14:paraId="7B69AC7D" w14:textId="77777777" w:rsidTr="006677D1">
        <w:tc>
          <w:tcPr>
            <w:tcW w:w="951" w:type="pct"/>
            <w:vMerge/>
            <w:tcBorders>
              <w:left w:val="nil"/>
              <w:bottom w:val="nil"/>
              <w:right w:val="nil"/>
            </w:tcBorders>
          </w:tcPr>
          <w:p w14:paraId="5AE08CCF"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5A9FC593" w14:textId="768D094D"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(0.0007)</w:t>
            </w:r>
          </w:p>
        </w:tc>
        <w:tc>
          <w:tcPr>
            <w:tcW w:w="506" w:type="pct"/>
            <w:tcBorders>
              <w:top w:val="nil"/>
              <w:left w:val="nil"/>
              <w:bottom w:val="nil"/>
              <w:right w:val="nil"/>
            </w:tcBorders>
          </w:tcPr>
          <w:p w14:paraId="143AE65E" w14:textId="24B60E0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(0.0010)</w:t>
            </w:r>
          </w:p>
        </w:tc>
        <w:tc>
          <w:tcPr>
            <w:tcW w:w="506" w:type="pct"/>
            <w:tcBorders>
              <w:top w:val="nil"/>
              <w:left w:val="nil"/>
              <w:bottom w:val="nil"/>
              <w:right w:val="nil"/>
            </w:tcBorders>
          </w:tcPr>
          <w:p w14:paraId="32A471B3"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(0.0005)</w:t>
            </w:r>
          </w:p>
        </w:tc>
        <w:tc>
          <w:tcPr>
            <w:tcW w:w="506" w:type="pct"/>
            <w:tcBorders>
              <w:top w:val="nil"/>
              <w:left w:val="nil"/>
              <w:bottom w:val="nil"/>
              <w:right w:val="single" w:sz="4" w:space="0" w:color="auto"/>
            </w:tcBorders>
          </w:tcPr>
          <w:p w14:paraId="69AAB9C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(0.0006)</w:t>
            </w:r>
          </w:p>
        </w:tc>
        <w:tc>
          <w:tcPr>
            <w:tcW w:w="506" w:type="pct"/>
            <w:tcBorders>
              <w:top w:val="nil"/>
              <w:left w:val="single" w:sz="4" w:space="0" w:color="auto"/>
              <w:bottom w:val="nil"/>
              <w:right w:val="nil"/>
            </w:tcBorders>
          </w:tcPr>
          <w:p w14:paraId="28CD9D24" w14:textId="5C65EE4C"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(0.0007)</w:t>
            </w:r>
          </w:p>
        </w:tc>
        <w:tc>
          <w:tcPr>
            <w:tcW w:w="506" w:type="pct"/>
            <w:tcBorders>
              <w:top w:val="nil"/>
              <w:left w:val="nil"/>
              <w:bottom w:val="nil"/>
              <w:right w:val="nil"/>
            </w:tcBorders>
          </w:tcPr>
          <w:p w14:paraId="6C74F849" w14:textId="3C51CA6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(0.0009)</w:t>
            </w:r>
          </w:p>
        </w:tc>
        <w:tc>
          <w:tcPr>
            <w:tcW w:w="506" w:type="pct"/>
            <w:tcBorders>
              <w:top w:val="nil"/>
              <w:left w:val="nil"/>
              <w:bottom w:val="nil"/>
              <w:right w:val="nil"/>
            </w:tcBorders>
          </w:tcPr>
          <w:p w14:paraId="5E65FCBB"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(0.0005)</w:t>
            </w:r>
          </w:p>
        </w:tc>
        <w:tc>
          <w:tcPr>
            <w:tcW w:w="507" w:type="pct"/>
            <w:tcBorders>
              <w:top w:val="nil"/>
              <w:left w:val="nil"/>
              <w:bottom w:val="nil"/>
              <w:right w:val="nil"/>
            </w:tcBorders>
          </w:tcPr>
          <w:p w14:paraId="099D87A6"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(0.0007)</w:t>
            </w:r>
          </w:p>
        </w:tc>
      </w:tr>
      <w:tr w:rsidR="000E79A6" w:rsidRPr="005D2191" w14:paraId="1981A8BD" w14:textId="77777777" w:rsidTr="006677D1">
        <w:tc>
          <w:tcPr>
            <w:tcW w:w="951" w:type="pct"/>
            <w:vMerge w:val="restart"/>
            <w:tcBorders>
              <w:top w:val="nil"/>
              <w:left w:val="nil"/>
              <w:right w:val="nil"/>
            </w:tcBorders>
          </w:tcPr>
          <w:p w14:paraId="200B38AA" w14:textId="09485633" w:rsidR="000E79A6" w:rsidRPr="005D2191" w:rsidRDefault="000E79A6" w:rsidP="000E79A6">
            <w:pPr>
              <w:autoSpaceDE w:val="0"/>
              <w:autoSpaceDN w:val="0"/>
              <w:adjustRightInd w:val="0"/>
              <w:spacing w:after="60"/>
              <w:ind w:left="100" w:hangingChars="50" w:hanging="100"/>
              <w:jc w:val="left"/>
              <w:rPr>
                <w:rFonts w:ascii="Times New Roman" w:hAnsi="Times New Roman"/>
                <w:kern w:val="0"/>
                <w:sz w:val="20"/>
                <w:szCs w:val="20"/>
              </w:rPr>
            </w:pPr>
            <w:r w:rsidRPr="005D2191">
              <w:rPr>
                <w:rFonts w:ascii="Times New Roman" w:hAnsi="Times New Roman"/>
                <w:kern w:val="0"/>
                <w:sz w:val="20"/>
                <w:szCs w:val="20"/>
              </w:rPr>
              <w:t>ROS</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3F51B4EC" w14:textId="43F9F4D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-0.0030***</w:t>
            </w:r>
          </w:p>
        </w:tc>
        <w:tc>
          <w:tcPr>
            <w:tcW w:w="506" w:type="pct"/>
            <w:tcBorders>
              <w:top w:val="nil"/>
              <w:left w:val="nil"/>
              <w:bottom w:val="nil"/>
              <w:right w:val="nil"/>
            </w:tcBorders>
          </w:tcPr>
          <w:p w14:paraId="5DB1CA7B" w14:textId="2AAA6343"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-0.0020</w:t>
            </w:r>
          </w:p>
        </w:tc>
        <w:tc>
          <w:tcPr>
            <w:tcW w:w="506" w:type="pct"/>
            <w:tcBorders>
              <w:top w:val="nil"/>
              <w:left w:val="nil"/>
              <w:bottom w:val="nil"/>
              <w:right w:val="nil"/>
            </w:tcBorders>
          </w:tcPr>
          <w:p w14:paraId="08B1C666"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-0.0032***</w:t>
            </w:r>
          </w:p>
        </w:tc>
        <w:tc>
          <w:tcPr>
            <w:tcW w:w="506" w:type="pct"/>
            <w:tcBorders>
              <w:top w:val="nil"/>
              <w:left w:val="nil"/>
              <w:bottom w:val="nil"/>
              <w:right w:val="single" w:sz="4" w:space="0" w:color="auto"/>
            </w:tcBorders>
          </w:tcPr>
          <w:p w14:paraId="2714F83F"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-0.0016</w:t>
            </w:r>
          </w:p>
        </w:tc>
        <w:tc>
          <w:tcPr>
            <w:tcW w:w="506" w:type="pct"/>
            <w:tcBorders>
              <w:top w:val="nil"/>
              <w:left w:val="single" w:sz="4" w:space="0" w:color="auto"/>
              <w:bottom w:val="nil"/>
              <w:right w:val="nil"/>
            </w:tcBorders>
          </w:tcPr>
          <w:p w14:paraId="1F3595DB" w14:textId="4D73C1E9"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-0.0033***</w:t>
            </w:r>
          </w:p>
        </w:tc>
        <w:tc>
          <w:tcPr>
            <w:tcW w:w="506" w:type="pct"/>
            <w:tcBorders>
              <w:top w:val="nil"/>
              <w:left w:val="nil"/>
              <w:bottom w:val="nil"/>
              <w:right w:val="nil"/>
            </w:tcBorders>
          </w:tcPr>
          <w:p w14:paraId="6E34CBA5" w14:textId="731246DE"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-0.0023</w:t>
            </w:r>
          </w:p>
        </w:tc>
        <w:tc>
          <w:tcPr>
            <w:tcW w:w="506" w:type="pct"/>
            <w:tcBorders>
              <w:top w:val="nil"/>
              <w:left w:val="nil"/>
              <w:bottom w:val="nil"/>
              <w:right w:val="nil"/>
            </w:tcBorders>
          </w:tcPr>
          <w:p w14:paraId="7A75655C"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-0.0034***</w:t>
            </w:r>
          </w:p>
        </w:tc>
        <w:tc>
          <w:tcPr>
            <w:tcW w:w="507" w:type="pct"/>
            <w:tcBorders>
              <w:top w:val="nil"/>
              <w:left w:val="nil"/>
              <w:bottom w:val="nil"/>
              <w:right w:val="nil"/>
            </w:tcBorders>
          </w:tcPr>
          <w:p w14:paraId="04BE7456"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-0.0022**</w:t>
            </w:r>
          </w:p>
        </w:tc>
      </w:tr>
      <w:tr w:rsidR="000E79A6" w:rsidRPr="005D2191" w14:paraId="0447601B" w14:textId="77777777" w:rsidTr="006677D1">
        <w:tc>
          <w:tcPr>
            <w:tcW w:w="951" w:type="pct"/>
            <w:vMerge/>
            <w:tcBorders>
              <w:left w:val="nil"/>
              <w:bottom w:val="nil"/>
              <w:right w:val="nil"/>
            </w:tcBorders>
          </w:tcPr>
          <w:p w14:paraId="1E33158E"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79344410" w14:textId="00C47F3F"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(0.0012)</w:t>
            </w:r>
          </w:p>
        </w:tc>
        <w:tc>
          <w:tcPr>
            <w:tcW w:w="506" w:type="pct"/>
            <w:tcBorders>
              <w:top w:val="nil"/>
              <w:left w:val="nil"/>
              <w:bottom w:val="nil"/>
              <w:right w:val="nil"/>
            </w:tcBorders>
          </w:tcPr>
          <w:p w14:paraId="1DB27088" w14:textId="7BCB770A"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(0.0037)</w:t>
            </w:r>
          </w:p>
        </w:tc>
        <w:tc>
          <w:tcPr>
            <w:tcW w:w="506" w:type="pct"/>
            <w:tcBorders>
              <w:top w:val="nil"/>
              <w:left w:val="nil"/>
              <w:bottom w:val="nil"/>
              <w:right w:val="nil"/>
            </w:tcBorders>
          </w:tcPr>
          <w:p w14:paraId="6193DE5B"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(0.0010)</w:t>
            </w:r>
          </w:p>
        </w:tc>
        <w:tc>
          <w:tcPr>
            <w:tcW w:w="506" w:type="pct"/>
            <w:tcBorders>
              <w:top w:val="nil"/>
              <w:left w:val="nil"/>
              <w:bottom w:val="nil"/>
              <w:right w:val="single" w:sz="4" w:space="0" w:color="auto"/>
            </w:tcBorders>
          </w:tcPr>
          <w:p w14:paraId="00C637CF"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(0.0010)</w:t>
            </w:r>
          </w:p>
        </w:tc>
        <w:tc>
          <w:tcPr>
            <w:tcW w:w="506" w:type="pct"/>
            <w:tcBorders>
              <w:top w:val="nil"/>
              <w:left w:val="single" w:sz="4" w:space="0" w:color="auto"/>
              <w:bottom w:val="nil"/>
              <w:right w:val="nil"/>
            </w:tcBorders>
          </w:tcPr>
          <w:p w14:paraId="7A3CD859" w14:textId="6CE2DB7D"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(0.0012)</w:t>
            </w:r>
          </w:p>
        </w:tc>
        <w:tc>
          <w:tcPr>
            <w:tcW w:w="506" w:type="pct"/>
            <w:tcBorders>
              <w:top w:val="nil"/>
              <w:left w:val="nil"/>
              <w:bottom w:val="nil"/>
              <w:right w:val="nil"/>
            </w:tcBorders>
          </w:tcPr>
          <w:p w14:paraId="6F8128F4" w14:textId="65C2B8EA"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(0.0037)</w:t>
            </w:r>
          </w:p>
        </w:tc>
        <w:tc>
          <w:tcPr>
            <w:tcW w:w="506" w:type="pct"/>
            <w:tcBorders>
              <w:top w:val="nil"/>
              <w:left w:val="nil"/>
              <w:bottom w:val="nil"/>
              <w:right w:val="nil"/>
            </w:tcBorders>
          </w:tcPr>
          <w:p w14:paraId="490D0E21"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(0.0010)</w:t>
            </w:r>
          </w:p>
        </w:tc>
        <w:tc>
          <w:tcPr>
            <w:tcW w:w="507" w:type="pct"/>
            <w:tcBorders>
              <w:top w:val="nil"/>
              <w:left w:val="nil"/>
              <w:bottom w:val="nil"/>
              <w:right w:val="nil"/>
            </w:tcBorders>
          </w:tcPr>
          <w:p w14:paraId="14E3DAA3"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(0.0011)</w:t>
            </w:r>
          </w:p>
        </w:tc>
      </w:tr>
      <w:tr w:rsidR="000E79A6" w:rsidRPr="005D2191" w14:paraId="5A617488" w14:textId="77777777" w:rsidTr="006677D1">
        <w:tc>
          <w:tcPr>
            <w:tcW w:w="951" w:type="pct"/>
            <w:vMerge w:val="restart"/>
            <w:tcBorders>
              <w:top w:val="nil"/>
              <w:left w:val="nil"/>
              <w:right w:val="nil"/>
            </w:tcBorders>
          </w:tcPr>
          <w:p w14:paraId="413EAAD3" w14:textId="09C9EC3F" w:rsidR="000E79A6" w:rsidRPr="005D2191" w:rsidRDefault="000E79A6" w:rsidP="000F373C">
            <w:pPr>
              <w:autoSpaceDE w:val="0"/>
              <w:autoSpaceDN w:val="0"/>
              <w:adjustRightInd w:val="0"/>
              <w:spacing w:after="60"/>
              <w:ind w:left="100" w:hangingChars="50" w:hanging="100"/>
              <w:jc w:val="left"/>
              <w:rPr>
                <w:rFonts w:ascii="Times New Roman" w:hAnsi="Times New Roman"/>
                <w:kern w:val="0"/>
                <w:sz w:val="20"/>
                <w:szCs w:val="20"/>
              </w:rPr>
            </w:pPr>
            <w:r w:rsidRPr="005D2191">
              <w:rPr>
                <w:rFonts w:ascii="Times New Roman" w:hAnsi="Times New Roman"/>
                <w:kern w:val="0"/>
                <w:sz w:val="20"/>
                <w:szCs w:val="20"/>
              </w:rPr>
              <w:t>Firm importance</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330FD3C2" w14:textId="0A9153F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-0.0040*</w:t>
            </w:r>
          </w:p>
        </w:tc>
        <w:tc>
          <w:tcPr>
            <w:tcW w:w="506" w:type="pct"/>
            <w:tcBorders>
              <w:top w:val="nil"/>
              <w:left w:val="nil"/>
              <w:bottom w:val="nil"/>
              <w:right w:val="nil"/>
            </w:tcBorders>
          </w:tcPr>
          <w:p w14:paraId="666B355A" w14:textId="4A4525B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0.0333</w:t>
            </w:r>
          </w:p>
        </w:tc>
        <w:tc>
          <w:tcPr>
            <w:tcW w:w="506" w:type="pct"/>
            <w:tcBorders>
              <w:top w:val="nil"/>
              <w:left w:val="nil"/>
              <w:bottom w:val="nil"/>
              <w:right w:val="nil"/>
            </w:tcBorders>
          </w:tcPr>
          <w:p w14:paraId="39EA9F41"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-0.0046</w:t>
            </w:r>
          </w:p>
        </w:tc>
        <w:tc>
          <w:tcPr>
            <w:tcW w:w="506" w:type="pct"/>
            <w:tcBorders>
              <w:top w:val="nil"/>
              <w:left w:val="nil"/>
              <w:bottom w:val="nil"/>
              <w:right w:val="single" w:sz="4" w:space="0" w:color="auto"/>
            </w:tcBorders>
          </w:tcPr>
          <w:p w14:paraId="78EC471E"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-0.0039*</w:t>
            </w:r>
          </w:p>
        </w:tc>
        <w:tc>
          <w:tcPr>
            <w:tcW w:w="506" w:type="pct"/>
            <w:tcBorders>
              <w:top w:val="nil"/>
              <w:left w:val="single" w:sz="4" w:space="0" w:color="auto"/>
              <w:bottom w:val="nil"/>
              <w:right w:val="nil"/>
            </w:tcBorders>
          </w:tcPr>
          <w:p w14:paraId="693B74F2" w14:textId="560B2E1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-0.0045*</w:t>
            </w:r>
          </w:p>
        </w:tc>
        <w:tc>
          <w:tcPr>
            <w:tcW w:w="506" w:type="pct"/>
            <w:tcBorders>
              <w:top w:val="nil"/>
              <w:left w:val="nil"/>
              <w:bottom w:val="nil"/>
              <w:right w:val="nil"/>
            </w:tcBorders>
          </w:tcPr>
          <w:p w14:paraId="63C47E29" w14:textId="0B44CB64"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0.0330</w:t>
            </w:r>
          </w:p>
        </w:tc>
        <w:tc>
          <w:tcPr>
            <w:tcW w:w="506" w:type="pct"/>
            <w:tcBorders>
              <w:top w:val="nil"/>
              <w:left w:val="nil"/>
              <w:bottom w:val="nil"/>
              <w:right w:val="nil"/>
            </w:tcBorders>
          </w:tcPr>
          <w:p w14:paraId="0428CB8E"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-0.0048</w:t>
            </w:r>
          </w:p>
        </w:tc>
        <w:tc>
          <w:tcPr>
            <w:tcW w:w="507" w:type="pct"/>
            <w:tcBorders>
              <w:top w:val="nil"/>
              <w:left w:val="nil"/>
              <w:bottom w:val="nil"/>
              <w:right w:val="nil"/>
            </w:tcBorders>
          </w:tcPr>
          <w:p w14:paraId="2C15C63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-0.0044*</w:t>
            </w:r>
          </w:p>
        </w:tc>
      </w:tr>
      <w:tr w:rsidR="000E79A6" w:rsidRPr="005D2191" w14:paraId="2D1004A2" w14:textId="77777777" w:rsidTr="006677D1">
        <w:tc>
          <w:tcPr>
            <w:tcW w:w="951" w:type="pct"/>
            <w:vMerge/>
            <w:tcBorders>
              <w:left w:val="nil"/>
              <w:bottom w:val="nil"/>
              <w:right w:val="nil"/>
            </w:tcBorders>
          </w:tcPr>
          <w:p w14:paraId="67C075B9"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64560A31" w14:textId="5CD45781"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(0.0023)</w:t>
            </w:r>
          </w:p>
        </w:tc>
        <w:tc>
          <w:tcPr>
            <w:tcW w:w="506" w:type="pct"/>
            <w:tcBorders>
              <w:top w:val="nil"/>
              <w:left w:val="nil"/>
              <w:bottom w:val="nil"/>
              <w:right w:val="nil"/>
            </w:tcBorders>
          </w:tcPr>
          <w:p w14:paraId="57B5EF89" w14:textId="6558B468"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(0.0321)</w:t>
            </w:r>
          </w:p>
        </w:tc>
        <w:tc>
          <w:tcPr>
            <w:tcW w:w="506" w:type="pct"/>
            <w:tcBorders>
              <w:top w:val="nil"/>
              <w:left w:val="nil"/>
              <w:bottom w:val="nil"/>
              <w:right w:val="nil"/>
            </w:tcBorders>
          </w:tcPr>
          <w:p w14:paraId="79B34CA8"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(0.0032)</w:t>
            </w:r>
          </w:p>
        </w:tc>
        <w:tc>
          <w:tcPr>
            <w:tcW w:w="506" w:type="pct"/>
            <w:tcBorders>
              <w:top w:val="nil"/>
              <w:left w:val="nil"/>
              <w:bottom w:val="nil"/>
              <w:right w:val="single" w:sz="4" w:space="0" w:color="auto"/>
            </w:tcBorders>
          </w:tcPr>
          <w:p w14:paraId="6E90CCD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(0.0024)</w:t>
            </w:r>
          </w:p>
        </w:tc>
        <w:tc>
          <w:tcPr>
            <w:tcW w:w="506" w:type="pct"/>
            <w:tcBorders>
              <w:top w:val="nil"/>
              <w:left w:val="single" w:sz="4" w:space="0" w:color="auto"/>
              <w:bottom w:val="nil"/>
              <w:right w:val="nil"/>
            </w:tcBorders>
          </w:tcPr>
          <w:p w14:paraId="5A8C8DA6" w14:textId="05F30C2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(0.0023)</w:t>
            </w:r>
          </w:p>
        </w:tc>
        <w:tc>
          <w:tcPr>
            <w:tcW w:w="506" w:type="pct"/>
            <w:tcBorders>
              <w:top w:val="nil"/>
              <w:left w:val="nil"/>
              <w:bottom w:val="nil"/>
              <w:right w:val="nil"/>
            </w:tcBorders>
          </w:tcPr>
          <w:p w14:paraId="070E93AF" w14:textId="29025BE8"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(0.0325)</w:t>
            </w:r>
          </w:p>
        </w:tc>
        <w:tc>
          <w:tcPr>
            <w:tcW w:w="506" w:type="pct"/>
            <w:tcBorders>
              <w:top w:val="nil"/>
              <w:left w:val="nil"/>
              <w:bottom w:val="nil"/>
              <w:right w:val="nil"/>
            </w:tcBorders>
          </w:tcPr>
          <w:p w14:paraId="55445D4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(0.0033)</w:t>
            </w:r>
          </w:p>
        </w:tc>
        <w:tc>
          <w:tcPr>
            <w:tcW w:w="507" w:type="pct"/>
            <w:tcBorders>
              <w:top w:val="nil"/>
              <w:left w:val="nil"/>
              <w:bottom w:val="nil"/>
              <w:right w:val="nil"/>
            </w:tcBorders>
          </w:tcPr>
          <w:p w14:paraId="3ABAD87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(0.0024)</w:t>
            </w:r>
          </w:p>
        </w:tc>
      </w:tr>
      <w:tr w:rsidR="000E79A6" w:rsidRPr="005D2191" w14:paraId="16BB7E62" w14:textId="77777777" w:rsidTr="006677D1">
        <w:tc>
          <w:tcPr>
            <w:tcW w:w="951" w:type="pct"/>
            <w:vMerge w:val="restart"/>
            <w:tcBorders>
              <w:top w:val="nil"/>
              <w:left w:val="nil"/>
              <w:right w:val="nil"/>
            </w:tcBorders>
          </w:tcPr>
          <w:p w14:paraId="5A8E90CB" w14:textId="2278F0EC" w:rsidR="000E79A6" w:rsidRPr="005D2191" w:rsidRDefault="000E79A6" w:rsidP="000F373C">
            <w:pPr>
              <w:autoSpaceDE w:val="0"/>
              <w:autoSpaceDN w:val="0"/>
              <w:adjustRightInd w:val="0"/>
              <w:spacing w:after="60"/>
              <w:ind w:left="100" w:hangingChars="50" w:hanging="100"/>
              <w:jc w:val="left"/>
              <w:rPr>
                <w:rFonts w:ascii="Times New Roman" w:hAnsi="Times New Roman"/>
                <w:kern w:val="0"/>
                <w:sz w:val="20"/>
                <w:szCs w:val="20"/>
              </w:rPr>
            </w:pPr>
            <w:r w:rsidRPr="005D2191">
              <w:rPr>
                <w:rFonts w:ascii="Times New Roman" w:hAnsi="Times New Roman"/>
                <w:kern w:val="0"/>
                <w:sz w:val="20"/>
                <w:szCs w:val="20"/>
              </w:rPr>
              <w:t>Fully state-owned</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37B3498C" w14:textId="4E1A27B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-0.0055***</w:t>
            </w:r>
          </w:p>
        </w:tc>
        <w:tc>
          <w:tcPr>
            <w:tcW w:w="506" w:type="pct"/>
            <w:tcBorders>
              <w:top w:val="nil"/>
              <w:left w:val="nil"/>
              <w:bottom w:val="nil"/>
              <w:right w:val="nil"/>
            </w:tcBorders>
          </w:tcPr>
          <w:p w14:paraId="324F7688" w14:textId="0B08CF15"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-0.0001</w:t>
            </w:r>
          </w:p>
        </w:tc>
        <w:tc>
          <w:tcPr>
            <w:tcW w:w="506" w:type="pct"/>
            <w:tcBorders>
              <w:top w:val="nil"/>
              <w:left w:val="nil"/>
              <w:bottom w:val="nil"/>
              <w:right w:val="nil"/>
            </w:tcBorders>
          </w:tcPr>
          <w:p w14:paraId="2D83208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-0.0138***</w:t>
            </w:r>
          </w:p>
        </w:tc>
        <w:tc>
          <w:tcPr>
            <w:tcW w:w="506" w:type="pct"/>
            <w:tcBorders>
              <w:top w:val="nil"/>
              <w:left w:val="nil"/>
              <w:bottom w:val="nil"/>
              <w:right w:val="single" w:sz="4" w:space="0" w:color="auto"/>
            </w:tcBorders>
          </w:tcPr>
          <w:p w14:paraId="1A832B0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-0.0015</w:t>
            </w:r>
          </w:p>
        </w:tc>
        <w:tc>
          <w:tcPr>
            <w:tcW w:w="506" w:type="pct"/>
            <w:tcBorders>
              <w:top w:val="nil"/>
              <w:left w:val="single" w:sz="4" w:space="0" w:color="auto"/>
              <w:bottom w:val="nil"/>
              <w:right w:val="nil"/>
            </w:tcBorders>
          </w:tcPr>
          <w:p w14:paraId="23B3A323" w14:textId="5825328A"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-0.0061***</w:t>
            </w:r>
          </w:p>
        </w:tc>
        <w:tc>
          <w:tcPr>
            <w:tcW w:w="506" w:type="pct"/>
            <w:tcBorders>
              <w:top w:val="nil"/>
              <w:left w:val="nil"/>
              <w:bottom w:val="nil"/>
              <w:right w:val="nil"/>
            </w:tcBorders>
          </w:tcPr>
          <w:p w14:paraId="284D5580" w14:textId="5D23064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-0.0003</w:t>
            </w:r>
          </w:p>
        </w:tc>
        <w:tc>
          <w:tcPr>
            <w:tcW w:w="506" w:type="pct"/>
            <w:tcBorders>
              <w:top w:val="nil"/>
              <w:left w:val="nil"/>
              <w:bottom w:val="nil"/>
              <w:right w:val="nil"/>
            </w:tcBorders>
          </w:tcPr>
          <w:p w14:paraId="39D5DEE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-0.0142***</w:t>
            </w:r>
          </w:p>
        </w:tc>
        <w:tc>
          <w:tcPr>
            <w:tcW w:w="507" w:type="pct"/>
            <w:tcBorders>
              <w:top w:val="nil"/>
              <w:left w:val="nil"/>
              <w:bottom w:val="nil"/>
              <w:right w:val="nil"/>
            </w:tcBorders>
          </w:tcPr>
          <w:p w14:paraId="5CD5F241"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-0.0017</w:t>
            </w:r>
          </w:p>
        </w:tc>
      </w:tr>
      <w:tr w:rsidR="000E79A6" w:rsidRPr="005D2191" w14:paraId="2D133E2A" w14:textId="77777777" w:rsidTr="006677D1">
        <w:tc>
          <w:tcPr>
            <w:tcW w:w="951" w:type="pct"/>
            <w:vMerge/>
            <w:tcBorders>
              <w:left w:val="nil"/>
              <w:bottom w:val="nil"/>
              <w:right w:val="nil"/>
            </w:tcBorders>
          </w:tcPr>
          <w:p w14:paraId="31EC361E"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084B9F77" w14:textId="041A7FA5"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(0.0018)</w:t>
            </w:r>
          </w:p>
        </w:tc>
        <w:tc>
          <w:tcPr>
            <w:tcW w:w="506" w:type="pct"/>
            <w:tcBorders>
              <w:top w:val="nil"/>
              <w:left w:val="nil"/>
              <w:bottom w:val="nil"/>
              <w:right w:val="nil"/>
            </w:tcBorders>
          </w:tcPr>
          <w:p w14:paraId="605C8A8D" w14:textId="637EB3B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(0.0052)</w:t>
            </w:r>
          </w:p>
        </w:tc>
        <w:tc>
          <w:tcPr>
            <w:tcW w:w="506" w:type="pct"/>
            <w:tcBorders>
              <w:top w:val="nil"/>
              <w:left w:val="nil"/>
              <w:bottom w:val="nil"/>
              <w:right w:val="nil"/>
            </w:tcBorders>
          </w:tcPr>
          <w:p w14:paraId="593C2C45"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(0.0035)</w:t>
            </w:r>
          </w:p>
        </w:tc>
        <w:tc>
          <w:tcPr>
            <w:tcW w:w="506" w:type="pct"/>
            <w:tcBorders>
              <w:top w:val="nil"/>
              <w:left w:val="nil"/>
              <w:bottom w:val="nil"/>
              <w:right w:val="single" w:sz="4" w:space="0" w:color="auto"/>
            </w:tcBorders>
          </w:tcPr>
          <w:p w14:paraId="747B463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(0.0017)</w:t>
            </w:r>
          </w:p>
        </w:tc>
        <w:tc>
          <w:tcPr>
            <w:tcW w:w="506" w:type="pct"/>
            <w:tcBorders>
              <w:top w:val="nil"/>
              <w:left w:val="single" w:sz="4" w:space="0" w:color="auto"/>
              <w:bottom w:val="nil"/>
              <w:right w:val="nil"/>
            </w:tcBorders>
          </w:tcPr>
          <w:p w14:paraId="6253C707" w14:textId="2610CF3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(0.0018)</w:t>
            </w:r>
          </w:p>
        </w:tc>
        <w:tc>
          <w:tcPr>
            <w:tcW w:w="506" w:type="pct"/>
            <w:tcBorders>
              <w:top w:val="nil"/>
              <w:left w:val="nil"/>
              <w:bottom w:val="nil"/>
              <w:right w:val="nil"/>
            </w:tcBorders>
          </w:tcPr>
          <w:p w14:paraId="5CC1E613" w14:textId="3D86400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(0.0054)</w:t>
            </w:r>
          </w:p>
        </w:tc>
        <w:tc>
          <w:tcPr>
            <w:tcW w:w="506" w:type="pct"/>
            <w:tcBorders>
              <w:top w:val="nil"/>
              <w:left w:val="nil"/>
              <w:bottom w:val="nil"/>
              <w:right w:val="nil"/>
            </w:tcBorders>
          </w:tcPr>
          <w:p w14:paraId="15A440AB"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(0.0035)</w:t>
            </w:r>
          </w:p>
        </w:tc>
        <w:tc>
          <w:tcPr>
            <w:tcW w:w="507" w:type="pct"/>
            <w:tcBorders>
              <w:top w:val="nil"/>
              <w:left w:val="nil"/>
              <w:bottom w:val="nil"/>
              <w:right w:val="nil"/>
            </w:tcBorders>
          </w:tcPr>
          <w:p w14:paraId="5951AAD3"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(0.0017)</w:t>
            </w:r>
          </w:p>
        </w:tc>
      </w:tr>
      <w:tr w:rsidR="000E79A6" w:rsidRPr="005D2191" w14:paraId="67AFEBD1" w14:textId="77777777" w:rsidTr="006677D1">
        <w:tc>
          <w:tcPr>
            <w:tcW w:w="951" w:type="pct"/>
            <w:vMerge w:val="restart"/>
            <w:tcBorders>
              <w:top w:val="nil"/>
              <w:left w:val="nil"/>
              <w:right w:val="nil"/>
            </w:tcBorders>
          </w:tcPr>
          <w:p w14:paraId="56449F1B" w14:textId="14BF64E1" w:rsidR="000E79A6" w:rsidRPr="005D2191" w:rsidRDefault="000E79A6" w:rsidP="000F373C">
            <w:pPr>
              <w:autoSpaceDE w:val="0"/>
              <w:autoSpaceDN w:val="0"/>
              <w:adjustRightInd w:val="0"/>
              <w:spacing w:after="60"/>
              <w:ind w:left="100" w:hangingChars="50" w:hanging="100"/>
              <w:jc w:val="left"/>
              <w:rPr>
                <w:rFonts w:ascii="Times New Roman" w:hAnsi="Times New Roman"/>
                <w:kern w:val="0"/>
                <w:sz w:val="20"/>
                <w:szCs w:val="20"/>
              </w:rPr>
            </w:pPr>
            <w:r w:rsidRPr="005D2191">
              <w:rPr>
                <w:rFonts w:ascii="Times New Roman" w:hAnsi="Times New Roman"/>
                <w:kern w:val="0"/>
                <w:sz w:val="20"/>
                <w:szCs w:val="20"/>
              </w:rPr>
              <w:t>GDP per capita</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783D58E3" w14:textId="61B32194"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0.0084</w:t>
            </w:r>
          </w:p>
        </w:tc>
        <w:tc>
          <w:tcPr>
            <w:tcW w:w="506" w:type="pct"/>
            <w:tcBorders>
              <w:top w:val="nil"/>
              <w:left w:val="nil"/>
              <w:bottom w:val="nil"/>
              <w:right w:val="nil"/>
            </w:tcBorders>
          </w:tcPr>
          <w:p w14:paraId="7CB529FE" w14:textId="4453D6D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-0.0050</w:t>
            </w:r>
          </w:p>
        </w:tc>
        <w:tc>
          <w:tcPr>
            <w:tcW w:w="506" w:type="pct"/>
            <w:tcBorders>
              <w:top w:val="nil"/>
              <w:left w:val="nil"/>
              <w:bottom w:val="nil"/>
              <w:right w:val="nil"/>
            </w:tcBorders>
          </w:tcPr>
          <w:p w14:paraId="4D18FAA5"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-0.0661**</w:t>
            </w:r>
          </w:p>
        </w:tc>
        <w:tc>
          <w:tcPr>
            <w:tcW w:w="506" w:type="pct"/>
            <w:tcBorders>
              <w:top w:val="nil"/>
              <w:left w:val="nil"/>
              <w:bottom w:val="nil"/>
              <w:right w:val="single" w:sz="4" w:space="0" w:color="auto"/>
            </w:tcBorders>
          </w:tcPr>
          <w:p w14:paraId="52547211"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0.0931**</w:t>
            </w:r>
          </w:p>
        </w:tc>
        <w:tc>
          <w:tcPr>
            <w:tcW w:w="506" w:type="pct"/>
            <w:tcBorders>
              <w:top w:val="nil"/>
              <w:left w:val="single" w:sz="4" w:space="0" w:color="auto"/>
              <w:bottom w:val="nil"/>
              <w:right w:val="nil"/>
            </w:tcBorders>
          </w:tcPr>
          <w:p w14:paraId="0748DF68" w14:textId="6DE97CB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0.0058</w:t>
            </w:r>
          </w:p>
        </w:tc>
        <w:tc>
          <w:tcPr>
            <w:tcW w:w="506" w:type="pct"/>
            <w:tcBorders>
              <w:top w:val="nil"/>
              <w:left w:val="nil"/>
              <w:bottom w:val="nil"/>
              <w:right w:val="nil"/>
            </w:tcBorders>
          </w:tcPr>
          <w:p w14:paraId="4690F4F9" w14:textId="43073A0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-0.0057</w:t>
            </w:r>
          </w:p>
        </w:tc>
        <w:tc>
          <w:tcPr>
            <w:tcW w:w="506" w:type="pct"/>
            <w:tcBorders>
              <w:top w:val="nil"/>
              <w:left w:val="nil"/>
              <w:bottom w:val="nil"/>
              <w:right w:val="nil"/>
            </w:tcBorders>
          </w:tcPr>
          <w:p w14:paraId="4212D9C3"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-0.0679**</w:t>
            </w:r>
          </w:p>
        </w:tc>
        <w:tc>
          <w:tcPr>
            <w:tcW w:w="507" w:type="pct"/>
            <w:tcBorders>
              <w:top w:val="nil"/>
              <w:left w:val="nil"/>
              <w:bottom w:val="nil"/>
              <w:right w:val="nil"/>
            </w:tcBorders>
          </w:tcPr>
          <w:p w14:paraId="6838D77E"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0.0977**</w:t>
            </w:r>
          </w:p>
        </w:tc>
      </w:tr>
      <w:tr w:rsidR="000E79A6" w:rsidRPr="005D2191" w14:paraId="4A74BCF8" w14:textId="77777777" w:rsidTr="006677D1">
        <w:tc>
          <w:tcPr>
            <w:tcW w:w="951" w:type="pct"/>
            <w:vMerge/>
            <w:tcBorders>
              <w:left w:val="nil"/>
              <w:bottom w:val="nil"/>
              <w:right w:val="nil"/>
            </w:tcBorders>
          </w:tcPr>
          <w:p w14:paraId="62F6921B"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4CB9231D" w14:textId="355B71F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(0.0056)</w:t>
            </w:r>
          </w:p>
        </w:tc>
        <w:tc>
          <w:tcPr>
            <w:tcW w:w="506" w:type="pct"/>
            <w:tcBorders>
              <w:top w:val="nil"/>
              <w:left w:val="nil"/>
              <w:bottom w:val="nil"/>
              <w:right w:val="nil"/>
            </w:tcBorders>
          </w:tcPr>
          <w:p w14:paraId="210ABE0D" w14:textId="5B13403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(0.0064)</w:t>
            </w:r>
          </w:p>
        </w:tc>
        <w:tc>
          <w:tcPr>
            <w:tcW w:w="506" w:type="pct"/>
            <w:tcBorders>
              <w:top w:val="nil"/>
              <w:left w:val="nil"/>
              <w:bottom w:val="nil"/>
              <w:right w:val="nil"/>
            </w:tcBorders>
          </w:tcPr>
          <w:p w14:paraId="3429C54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(0.0300)</w:t>
            </w:r>
          </w:p>
        </w:tc>
        <w:tc>
          <w:tcPr>
            <w:tcW w:w="506" w:type="pct"/>
            <w:tcBorders>
              <w:top w:val="nil"/>
              <w:left w:val="nil"/>
              <w:bottom w:val="nil"/>
              <w:right w:val="single" w:sz="4" w:space="0" w:color="auto"/>
            </w:tcBorders>
          </w:tcPr>
          <w:p w14:paraId="4182E6E0"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(0.0383)</w:t>
            </w:r>
          </w:p>
        </w:tc>
        <w:tc>
          <w:tcPr>
            <w:tcW w:w="506" w:type="pct"/>
            <w:tcBorders>
              <w:top w:val="nil"/>
              <w:left w:val="single" w:sz="4" w:space="0" w:color="auto"/>
              <w:bottom w:val="nil"/>
              <w:right w:val="nil"/>
            </w:tcBorders>
          </w:tcPr>
          <w:p w14:paraId="0AF3C9D6" w14:textId="31616FBD"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(0.0050)</w:t>
            </w:r>
          </w:p>
        </w:tc>
        <w:tc>
          <w:tcPr>
            <w:tcW w:w="506" w:type="pct"/>
            <w:tcBorders>
              <w:top w:val="nil"/>
              <w:left w:val="nil"/>
              <w:bottom w:val="nil"/>
              <w:right w:val="nil"/>
            </w:tcBorders>
          </w:tcPr>
          <w:p w14:paraId="0C6B6487" w14:textId="11AF3E4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(0.0059)</w:t>
            </w:r>
          </w:p>
        </w:tc>
        <w:tc>
          <w:tcPr>
            <w:tcW w:w="506" w:type="pct"/>
            <w:tcBorders>
              <w:top w:val="nil"/>
              <w:left w:val="nil"/>
              <w:bottom w:val="nil"/>
              <w:right w:val="nil"/>
            </w:tcBorders>
          </w:tcPr>
          <w:p w14:paraId="0EFC3DF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(0.0295)</w:t>
            </w:r>
          </w:p>
        </w:tc>
        <w:tc>
          <w:tcPr>
            <w:tcW w:w="507" w:type="pct"/>
            <w:tcBorders>
              <w:top w:val="nil"/>
              <w:left w:val="nil"/>
              <w:bottom w:val="nil"/>
              <w:right w:val="nil"/>
            </w:tcBorders>
          </w:tcPr>
          <w:p w14:paraId="7DE161E0"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(0.0416)</w:t>
            </w:r>
          </w:p>
        </w:tc>
      </w:tr>
      <w:tr w:rsidR="000E79A6" w:rsidRPr="005D2191" w14:paraId="547F26F1" w14:textId="77777777" w:rsidTr="006677D1">
        <w:tc>
          <w:tcPr>
            <w:tcW w:w="951" w:type="pct"/>
            <w:vMerge w:val="restart"/>
            <w:tcBorders>
              <w:top w:val="nil"/>
              <w:left w:val="nil"/>
              <w:right w:val="nil"/>
            </w:tcBorders>
          </w:tcPr>
          <w:p w14:paraId="7B8253D3" w14:textId="7D598FE4" w:rsidR="000E79A6" w:rsidRPr="005D2191" w:rsidRDefault="000E79A6" w:rsidP="000E79A6">
            <w:pPr>
              <w:autoSpaceDE w:val="0"/>
              <w:autoSpaceDN w:val="0"/>
              <w:adjustRightInd w:val="0"/>
              <w:spacing w:after="60"/>
              <w:ind w:left="100" w:hangingChars="50" w:hanging="100"/>
              <w:jc w:val="left"/>
              <w:rPr>
                <w:rFonts w:ascii="Times New Roman" w:hAnsi="Times New Roman"/>
                <w:kern w:val="0"/>
                <w:sz w:val="20"/>
                <w:szCs w:val="20"/>
              </w:rPr>
            </w:pPr>
            <w:r w:rsidRPr="005D2191">
              <w:rPr>
                <w:rFonts w:ascii="Times New Roman" w:hAnsi="Times New Roman"/>
                <w:kern w:val="0"/>
                <w:sz w:val="20"/>
                <w:szCs w:val="20"/>
              </w:rPr>
              <w:t>State sector share</w:t>
            </w:r>
            <w:r w:rsidRPr="005D2191">
              <w:rPr>
                <w:rFonts w:ascii="Times New Roman" w:hAnsi="Times New Roman"/>
                <w:kern w:val="0"/>
                <w:sz w:val="20"/>
                <w:szCs w:val="20"/>
                <w:vertAlign w:val="subscript"/>
              </w:rPr>
              <w:t xml:space="preserve"> (t-1)</w:t>
            </w:r>
          </w:p>
        </w:tc>
        <w:tc>
          <w:tcPr>
            <w:tcW w:w="506" w:type="pct"/>
            <w:tcBorders>
              <w:top w:val="nil"/>
              <w:left w:val="nil"/>
              <w:bottom w:val="nil"/>
              <w:right w:val="nil"/>
            </w:tcBorders>
          </w:tcPr>
          <w:p w14:paraId="0797F270" w14:textId="4A33114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0.0181</w:t>
            </w:r>
          </w:p>
        </w:tc>
        <w:tc>
          <w:tcPr>
            <w:tcW w:w="506" w:type="pct"/>
            <w:tcBorders>
              <w:top w:val="nil"/>
              <w:left w:val="nil"/>
              <w:bottom w:val="nil"/>
              <w:right w:val="nil"/>
            </w:tcBorders>
          </w:tcPr>
          <w:p w14:paraId="38C744FE" w14:textId="6FE6A42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-0.0794**</w:t>
            </w:r>
          </w:p>
        </w:tc>
        <w:tc>
          <w:tcPr>
            <w:tcW w:w="506" w:type="pct"/>
            <w:tcBorders>
              <w:top w:val="nil"/>
              <w:left w:val="nil"/>
              <w:bottom w:val="nil"/>
              <w:right w:val="nil"/>
            </w:tcBorders>
          </w:tcPr>
          <w:p w14:paraId="4FAE8D8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0.1210***</w:t>
            </w:r>
          </w:p>
        </w:tc>
        <w:tc>
          <w:tcPr>
            <w:tcW w:w="506" w:type="pct"/>
            <w:tcBorders>
              <w:top w:val="nil"/>
              <w:left w:val="nil"/>
              <w:bottom w:val="nil"/>
              <w:right w:val="single" w:sz="4" w:space="0" w:color="auto"/>
            </w:tcBorders>
          </w:tcPr>
          <w:p w14:paraId="76794CC9"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0.0612</w:t>
            </w:r>
          </w:p>
        </w:tc>
        <w:tc>
          <w:tcPr>
            <w:tcW w:w="506" w:type="pct"/>
            <w:tcBorders>
              <w:top w:val="nil"/>
              <w:left w:val="single" w:sz="4" w:space="0" w:color="auto"/>
              <w:bottom w:val="nil"/>
              <w:right w:val="nil"/>
            </w:tcBorders>
          </w:tcPr>
          <w:p w14:paraId="2BD4B2F9" w14:textId="02086C9F"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0.0155</w:t>
            </w:r>
          </w:p>
        </w:tc>
        <w:tc>
          <w:tcPr>
            <w:tcW w:w="506" w:type="pct"/>
            <w:tcBorders>
              <w:top w:val="nil"/>
              <w:left w:val="nil"/>
              <w:bottom w:val="nil"/>
              <w:right w:val="nil"/>
            </w:tcBorders>
          </w:tcPr>
          <w:p w14:paraId="2522BD5B" w14:textId="4592CD24"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-0.0811***</w:t>
            </w:r>
          </w:p>
        </w:tc>
        <w:tc>
          <w:tcPr>
            <w:tcW w:w="506" w:type="pct"/>
            <w:tcBorders>
              <w:top w:val="nil"/>
              <w:left w:val="nil"/>
              <w:bottom w:val="nil"/>
              <w:right w:val="nil"/>
            </w:tcBorders>
          </w:tcPr>
          <w:p w14:paraId="40C722D3"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0.1256***</w:t>
            </w:r>
          </w:p>
        </w:tc>
        <w:tc>
          <w:tcPr>
            <w:tcW w:w="507" w:type="pct"/>
            <w:tcBorders>
              <w:top w:val="nil"/>
              <w:left w:val="nil"/>
              <w:bottom w:val="nil"/>
              <w:right w:val="nil"/>
            </w:tcBorders>
          </w:tcPr>
          <w:p w14:paraId="328FDF88"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0.0631</w:t>
            </w:r>
          </w:p>
        </w:tc>
      </w:tr>
      <w:tr w:rsidR="000E79A6" w:rsidRPr="005D2191" w14:paraId="2BF07EC5" w14:textId="77777777" w:rsidTr="006677D1">
        <w:tc>
          <w:tcPr>
            <w:tcW w:w="951" w:type="pct"/>
            <w:vMerge/>
            <w:tcBorders>
              <w:left w:val="nil"/>
              <w:bottom w:val="nil"/>
              <w:right w:val="nil"/>
            </w:tcBorders>
          </w:tcPr>
          <w:p w14:paraId="2D05D0C8"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07A0E580" w14:textId="74E3963C"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(0.0344)</w:t>
            </w:r>
          </w:p>
        </w:tc>
        <w:tc>
          <w:tcPr>
            <w:tcW w:w="506" w:type="pct"/>
            <w:tcBorders>
              <w:top w:val="nil"/>
              <w:left w:val="nil"/>
              <w:bottom w:val="nil"/>
              <w:right w:val="nil"/>
            </w:tcBorders>
          </w:tcPr>
          <w:p w14:paraId="25823BC6" w14:textId="200ACE5A"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(0.0326)</w:t>
            </w:r>
          </w:p>
        </w:tc>
        <w:tc>
          <w:tcPr>
            <w:tcW w:w="506" w:type="pct"/>
            <w:tcBorders>
              <w:top w:val="nil"/>
              <w:left w:val="nil"/>
              <w:bottom w:val="nil"/>
              <w:right w:val="nil"/>
            </w:tcBorders>
          </w:tcPr>
          <w:p w14:paraId="103BD561"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(0.0360)</w:t>
            </w:r>
          </w:p>
        </w:tc>
        <w:tc>
          <w:tcPr>
            <w:tcW w:w="506" w:type="pct"/>
            <w:tcBorders>
              <w:top w:val="nil"/>
              <w:left w:val="nil"/>
              <w:bottom w:val="nil"/>
              <w:right w:val="single" w:sz="4" w:space="0" w:color="auto"/>
            </w:tcBorders>
          </w:tcPr>
          <w:p w14:paraId="6275916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(0.0397)</w:t>
            </w:r>
          </w:p>
        </w:tc>
        <w:tc>
          <w:tcPr>
            <w:tcW w:w="506" w:type="pct"/>
            <w:tcBorders>
              <w:top w:val="nil"/>
              <w:left w:val="single" w:sz="4" w:space="0" w:color="auto"/>
              <w:bottom w:val="nil"/>
              <w:right w:val="nil"/>
            </w:tcBorders>
          </w:tcPr>
          <w:p w14:paraId="2CCF269A" w14:textId="183BC3C4"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(0.0300)</w:t>
            </w:r>
          </w:p>
        </w:tc>
        <w:tc>
          <w:tcPr>
            <w:tcW w:w="506" w:type="pct"/>
            <w:tcBorders>
              <w:top w:val="nil"/>
              <w:left w:val="nil"/>
              <w:bottom w:val="nil"/>
              <w:right w:val="nil"/>
            </w:tcBorders>
          </w:tcPr>
          <w:p w14:paraId="130AA67E" w14:textId="19E2CC95"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(0.0281)</w:t>
            </w:r>
          </w:p>
        </w:tc>
        <w:tc>
          <w:tcPr>
            <w:tcW w:w="506" w:type="pct"/>
            <w:tcBorders>
              <w:top w:val="nil"/>
              <w:left w:val="nil"/>
              <w:bottom w:val="nil"/>
              <w:right w:val="nil"/>
            </w:tcBorders>
          </w:tcPr>
          <w:p w14:paraId="1AA1E6EC"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(0.0363)</w:t>
            </w:r>
          </w:p>
        </w:tc>
        <w:tc>
          <w:tcPr>
            <w:tcW w:w="507" w:type="pct"/>
            <w:tcBorders>
              <w:top w:val="nil"/>
              <w:left w:val="nil"/>
              <w:bottom w:val="nil"/>
              <w:right w:val="nil"/>
            </w:tcBorders>
          </w:tcPr>
          <w:p w14:paraId="5024B996"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(0.0406)</w:t>
            </w:r>
          </w:p>
        </w:tc>
      </w:tr>
      <w:tr w:rsidR="000E79A6" w:rsidRPr="005D2191" w14:paraId="024784E4" w14:textId="77777777" w:rsidTr="006677D1">
        <w:tc>
          <w:tcPr>
            <w:tcW w:w="951" w:type="pct"/>
            <w:vMerge w:val="restart"/>
            <w:tcBorders>
              <w:top w:val="nil"/>
              <w:left w:val="nil"/>
              <w:right w:val="nil"/>
            </w:tcBorders>
          </w:tcPr>
          <w:p w14:paraId="443C05C9" w14:textId="6962E60B" w:rsidR="000E79A6" w:rsidRPr="005D2191" w:rsidRDefault="000E79A6" w:rsidP="000E79A6">
            <w:pPr>
              <w:autoSpaceDE w:val="0"/>
              <w:autoSpaceDN w:val="0"/>
              <w:adjustRightInd w:val="0"/>
              <w:spacing w:after="60"/>
              <w:ind w:left="100" w:hangingChars="50" w:hanging="100"/>
              <w:jc w:val="left"/>
              <w:rPr>
                <w:rFonts w:ascii="Times New Roman" w:hAnsi="Times New Roman"/>
                <w:kern w:val="0"/>
                <w:sz w:val="20"/>
                <w:szCs w:val="20"/>
              </w:rPr>
            </w:pPr>
            <w:r w:rsidRPr="005D2191">
              <w:rPr>
                <w:rFonts w:ascii="Times New Roman" w:hAnsi="Times New Roman"/>
                <w:kern w:val="0"/>
                <w:sz w:val="20"/>
                <w:szCs w:val="20"/>
              </w:rPr>
              <w:t>Unemployment rate</w:t>
            </w:r>
            <w:r w:rsidRPr="005D2191">
              <w:rPr>
                <w:rFonts w:ascii="Times New Roman" w:hAnsi="Times New Roman"/>
                <w:kern w:val="0"/>
                <w:sz w:val="20"/>
                <w:szCs w:val="20"/>
                <w:vertAlign w:val="subscript"/>
              </w:rPr>
              <w:t xml:space="preserve"> (t-1)</w:t>
            </w:r>
            <w:r w:rsidRPr="005D2191">
              <w:rPr>
                <w:rFonts w:ascii="Times New Roman" w:hAnsi="Times New Roman"/>
                <w:kern w:val="0"/>
                <w:sz w:val="20"/>
                <w:szCs w:val="20"/>
              </w:rPr>
              <w:t xml:space="preserve"> </w:t>
            </w:r>
          </w:p>
        </w:tc>
        <w:tc>
          <w:tcPr>
            <w:tcW w:w="506" w:type="pct"/>
            <w:tcBorders>
              <w:top w:val="nil"/>
              <w:left w:val="nil"/>
              <w:bottom w:val="nil"/>
              <w:right w:val="nil"/>
            </w:tcBorders>
          </w:tcPr>
          <w:p w14:paraId="554F32F0" w14:textId="29BF679F"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-0.0004</w:t>
            </w:r>
          </w:p>
        </w:tc>
        <w:tc>
          <w:tcPr>
            <w:tcW w:w="506" w:type="pct"/>
            <w:tcBorders>
              <w:top w:val="nil"/>
              <w:left w:val="nil"/>
              <w:bottom w:val="nil"/>
              <w:right w:val="nil"/>
            </w:tcBorders>
          </w:tcPr>
          <w:p w14:paraId="793125AB" w14:textId="2D6ABF1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0.0030</w:t>
            </w:r>
          </w:p>
        </w:tc>
        <w:tc>
          <w:tcPr>
            <w:tcW w:w="506" w:type="pct"/>
            <w:tcBorders>
              <w:top w:val="nil"/>
              <w:left w:val="nil"/>
              <w:bottom w:val="nil"/>
              <w:right w:val="nil"/>
            </w:tcBorders>
          </w:tcPr>
          <w:p w14:paraId="6D7F0110"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0.0001</w:t>
            </w:r>
          </w:p>
        </w:tc>
        <w:tc>
          <w:tcPr>
            <w:tcW w:w="506" w:type="pct"/>
            <w:tcBorders>
              <w:top w:val="nil"/>
              <w:left w:val="nil"/>
              <w:bottom w:val="nil"/>
              <w:right w:val="single" w:sz="4" w:space="0" w:color="auto"/>
            </w:tcBorders>
          </w:tcPr>
          <w:p w14:paraId="3C58AB0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-0.0017</w:t>
            </w:r>
          </w:p>
        </w:tc>
        <w:tc>
          <w:tcPr>
            <w:tcW w:w="506" w:type="pct"/>
            <w:tcBorders>
              <w:top w:val="nil"/>
              <w:left w:val="single" w:sz="4" w:space="0" w:color="auto"/>
              <w:bottom w:val="nil"/>
              <w:right w:val="nil"/>
            </w:tcBorders>
          </w:tcPr>
          <w:p w14:paraId="44667C33" w14:textId="47D1EBEE"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-0.0002</w:t>
            </w:r>
          </w:p>
        </w:tc>
        <w:tc>
          <w:tcPr>
            <w:tcW w:w="506" w:type="pct"/>
            <w:tcBorders>
              <w:top w:val="nil"/>
              <w:left w:val="nil"/>
              <w:bottom w:val="nil"/>
              <w:right w:val="nil"/>
            </w:tcBorders>
          </w:tcPr>
          <w:p w14:paraId="7B7A21DF" w14:textId="2208BDCF"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0.0020</w:t>
            </w:r>
          </w:p>
        </w:tc>
        <w:tc>
          <w:tcPr>
            <w:tcW w:w="506" w:type="pct"/>
            <w:tcBorders>
              <w:top w:val="nil"/>
              <w:left w:val="nil"/>
              <w:bottom w:val="nil"/>
              <w:right w:val="nil"/>
            </w:tcBorders>
          </w:tcPr>
          <w:p w14:paraId="177253B0"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-0.0000</w:t>
            </w:r>
          </w:p>
        </w:tc>
        <w:tc>
          <w:tcPr>
            <w:tcW w:w="507" w:type="pct"/>
            <w:tcBorders>
              <w:top w:val="nil"/>
              <w:left w:val="nil"/>
              <w:bottom w:val="nil"/>
              <w:right w:val="nil"/>
            </w:tcBorders>
          </w:tcPr>
          <w:p w14:paraId="18013B2A"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-0.0022</w:t>
            </w:r>
          </w:p>
        </w:tc>
      </w:tr>
      <w:tr w:rsidR="000E79A6" w:rsidRPr="005D2191" w14:paraId="4AD69868" w14:textId="77777777" w:rsidTr="006677D1">
        <w:tc>
          <w:tcPr>
            <w:tcW w:w="951" w:type="pct"/>
            <w:vMerge/>
            <w:tcBorders>
              <w:left w:val="nil"/>
              <w:bottom w:val="nil"/>
              <w:right w:val="nil"/>
            </w:tcBorders>
          </w:tcPr>
          <w:p w14:paraId="0CC1CF03"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p>
        </w:tc>
        <w:tc>
          <w:tcPr>
            <w:tcW w:w="506" w:type="pct"/>
            <w:tcBorders>
              <w:top w:val="nil"/>
              <w:left w:val="nil"/>
              <w:bottom w:val="nil"/>
              <w:right w:val="nil"/>
            </w:tcBorders>
          </w:tcPr>
          <w:p w14:paraId="7AA05BF4" w14:textId="35A7B655"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(0.0017)</w:t>
            </w:r>
          </w:p>
        </w:tc>
        <w:tc>
          <w:tcPr>
            <w:tcW w:w="506" w:type="pct"/>
            <w:tcBorders>
              <w:top w:val="nil"/>
              <w:left w:val="nil"/>
              <w:bottom w:val="nil"/>
              <w:right w:val="nil"/>
            </w:tcBorders>
          </w:tcPr>
          <w:p w14:paraId="6C5E25EB" w14:textId="4BEE40FC"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(0.0028)</w:t>
            </w:r>
          </w:p>
        </w:tc>
        <w:tc>
          <w:tcPr>
            <w:tcW w:w="506" w:type="pct"/>
            <w:tcBorders>
              <w:top w:val="nil"/>
              <w:left w:val="nil"/>
              <w:bottom w:val="nil"/>
              <w:right w:val="nil"/>
            </w:tcBorders>
          </w:tcPr>
          <w:p w14:paraId="72E19A84"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(0.0034)</w:t>
            </w:r>
          </w:p>
        </w:tc>
        <w:tc>
          <w:tcPr>
            <w:tcW w:w="506" w:type="pct"/>
            <w:tcBorders>
              <w:top w:val="nil"/>
              <w:left w:val="nil"/>
              <w:bottom w:val="nil"/>
              <w:right w:val="single" w:sz="4" w:space="0" w:color="auto"/>
            </w:tcBorders>
          </w:tcPr>
          <w:p w14:paraId="53F1A46D"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(0.0019)</w:t>
            </w:r>
          </w:p>
        </w:tc>
        <w:tc>
          <w:tcPr>
            <w:tcW w:w="506" w:type="pct"/>
            <w:tcBorders>
              <w:top w:val="nil"/>
              <w:left w:val="single" w:sz="4" w:space="0" w:color="auto"/>
              <w:bottom w:val="nil"/>
              <w:right w:val="nil"/>
            </w:tcBorders>
          </w:tcPr>
          <w:p w14:paraId="5EC56400" w14:textId="5B54DD01"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(0.0020)</w:t>
            </w:r>
          </w:p>
        </w:tc>
        <w:tc>
          <w:tcPr>
            <w:tcW w:w="506" w:type="pct"/>
            <w:tcBorders>
              <w:top w:val="nil"/>
              <w:left w:val="nil"/>
              <w:bottom w:val="nil"/>
              <w:right w:val="nil"/>
            </w:tcBorders>
          </w:tcPr>
          <w:p w14:paraId="752629DB" w14:textId="2AB78DBD"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(0.0037)</w:t>
            </w:r>
          </w:p>
        </w:tc>
        <w:tc>
          <w:tcPr>
            <w:tcW w:w="506" w:type="pct"/>
            <w:tcBorders>
              <w:top w:val="nil"/>
              <w:left w:val="nil"/>
              <w:bottom w:val="nil"/>
              <w:right w:val="nil"/>
            </w:tcBorders>
          </w:tcPr>
          <w:p w14:paraId="5420AD78"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(0.0033)</w:t>
            </w:r>
          </w:p>
        </w:tc>
        <w:tc>
          <w:tcPr>
            <w:tcW w:w="507" w:type="pct"/>
            <w:tcBorders>
              <w:top w:val="nil"/>
              <w:left w:val="nil"/>
              <w:bottom w:val="nil"/>
              <w:right w:val="nil"/>
            </w:tcBorders>
          </w:tcPr>
          <w:p w14:paraId="04ABB8A1" w14:textId="7777777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(0.0020)</w:t>
            </w:r>
          </w:p>
        </w:tc>
      </w:tr>
      <w:tr w:rsidR="000E79A6" w:rsidRPr="005D2191" w14:paraId="4C5FA0E9" w14:textId="77777777" w:rsidTr="006677D1">
        <w:tc>
          <w:tcPr>
            <w:tcW w:w="951" w:type="pct"/>
            <w:tcBorders>
              <w:left w:val="nil"/>
              <w:bottom w:val="nil"/>
              <w:right w:val="nil"/>
            </w:tcBorders>
          </w:tcPr>
          <w:p w14:paraId="56D56762" w14:textId="7D8B802C" w:rsidR="000E79A6" w:rsidRPr="005D2191" w:rsidRDefault="000E79A6" w:rsidP="000E79A6">
            <w:pPr>
              <w:autoSpaceDE w:val="0"/>
              <w:autoSpaceDN w:val="0"/>
              <w:adjustRightInd w:val="0"/>
              <w:spacing w:after="60"/>
              <w:jc w:val="left"/>
              <w:rPr>
                <w:rFonts w:ascii="Times New Roman" w:hAnsi="Times New Roman"/>
                <w:kern w:val="0"/>
                <w:sz w:val="20"/>
                <w:szCs w:val="20"/>
              </w:rPr>
            </w:pPr>
            <w:r w:rsidRPr="005D2191">
              <w:rPr>
                <w:rFonts w:ascii="Times New Roman" w:hAnsi="Times New Roman"/>
                <w:kern w:val="0"/>
                <w:sz w:val="20"/>
                <w:szCs w:val="20"/>
              </w:rPr>
              <w:t>Year dummies</w:t>
            </w:r>
          </w:p>
        </w:tc>
        <w:tc>
          <w:tcPr>
            <w:tcW w:w="506" w:type="pct"/>
            <w:tcBorders>
              <w:top w:val="nil"/>
              <w:left w:val="nil"/>
              <w:bottom w:val="nil"/>
              <w:right w:val="nil"/>
            </w:tcBorders>
          </w:tcPr>
          <w:p w14:paraId="68FDE3B2" w14:textId="711FF1C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21859CC3" w14:textId="6B8A657F"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1DDBB6D0" w14:textId="3764A99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single" w:sz="4" w:space="0" w:color="auto"/>
            </w:tcBorders>
          </w:tcPr>
          <w:p w14:paraId="11011877" w14:textId="2BCB6B83"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single" w:sz="4" w:space="0" w:color="auto"/>
              <w:bottom w:val="nil"/>
              <w:right w:val="nil"/>
            </w:tcBorders>
          </w:tcPr>
          <w:p w14:paraId="17C07890" w14:textId="61AF5D8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0F8CFFB6" w14:textId="559A33C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2F3AA716" w14:textId="2C52719C"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7" w:type="pct"/>
            <w:tcBorders>
              <w:top w:val="nil"/>
              <w:left w:val="nil"/>
              <w:bottom w:val="nil"/>
              <w:right w:val="nil"/>
            </w:tcBorders>
          </w:tcPr>
          <w:p w14:paraId="7828B2C8" w14:textId="71DD447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r>
      <w:tr w:rsidR="000E79A6" w:rsidRPr="005D2191" w14:paraId="074BF0A7" w14:textId="77777777" w:rsidTr="006677D1">
        <w:tc>
          <w:tcPr>
            <w:tcW w:w="951" w:type="pct"/>
            <w:tcBorders>
              <w:left w:val="nil"/>
              <w:bottom w:val="nil"/>
              <w:right w:val="nil"/>
            </w:tcBorders>
          </w:tcPr>
          <w:p w14:paraId="5EE50C9B" w14:textId="77777777" w:rsidR="000E79A6" w:rsidRDefault="000E79A6" w:rsidP="000E79A6">
            <w:pPr>
              <w:autoSpaceDE w:val="0"/>
              <w:autoSpaceDN w:val="0"/>
              <w:adjustRightInd w:val="0"/>
              <w:spacing w:after="60"/>
              <w:jc w:val="left"/>
              <w:rPr>
                <w:rFonts w:ascii="Times New Roman" w:hAnsi="Times New Roman"/>
                <w:kern w:val="0"/>
                <w:sz w:val="20"/>
                <w:szCs w:val="20"/>
              </w:rPr>
            </w:pPr>
            <w:r w:rsidRPr="005D2191">
              <w:rPr>
                <w:rFonts w:ascii="Times New Roman" w:hAnsi="Times New Roman"/>
                <w:kern w:val="0"/>
                <w:sz w:val="20"/>
                <w:szCs w:val="20"/>
              </w:rPr>
              <w:t xml:space="preserve">Oversight government </w:t>
            </w:r>
          </w:p>
          <w:p w14:paraId="1BD7621F" w14:textId="6436B830" w:rsidR="000E79A6" w:rsidRPr="005D2191" w:rsidRDefault="000E79A6" w:rsidP="000E79A6">
            <w:pPr>
              <w:autoSpaceDE w:val="0"/>
              <w:autoSpaceDN w:val="0"/>
              <w:adjustRightInd w:val="0"/>
              <w:spacing w:after="60"/>
              <w:jc w:val="left"/>
              <w:rPr>
                <w:rFonts w:ascii="Times New Roman" w:hAnsi="Times New Roman"/>
                <w:kern w:val="0"/>
                <w:sz w:val="20"/>
                <w:szCs w:val="20"/>
              </w:rPr>
            </w:pPr>
            <w:r>
              <w:rPr>
                <w:rFonts w:ascii="Times New Roman" w:hAnsi="Times New Roman"/>
                <w:kern w:val="0"/>
                <w:sz w:val="20"/>
                <w:szCs w:val="20"/>
              </w:rPr>
              <w:t xml:space="preserve">       </w:t>
            </w:r>
            <w:r w:rsidRPr="005D2191">
              <w:rPr>
                <w:rFonts w:ascii="Times New Roman" w:hAnsi="Times New Roman"/>
                <w:kern w:val="0"/>
                <w:sz w:val="20"/>
                <w:szCs w:val="20"/>
              </w:rPr>
              <w:t>dummies</w:t>
            </w:r>
          </w:p>
        </w:tc>
        <w:tc>
          <w:tcPr>
            <w:tcW w:w="506" w:type="pct"/>
            <w:tcBorders>
              <w:top w:val="nil"/>
              <w:left w:val="nil"/>
              <w:bottom w:val="nil"/>
              <w:right w:val="nil"/>
            </w:tcBorders>
          </w:tcPr>
          <w:p w14:paraId="0D56F57D" w14:textId="5100368E"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190952A3" w14:textId="2C8A465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15B3F615" w14:textId="4FB9E4AE"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single" w:sz="4" w:space="0" w:color="auto"/>
            </w:tcBorders>
          </w:tcPr>
          <w:p w14:paraId="33F44651" w14:textId="2986B5F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single" w:sz="4" w:space="0" w:color="auto"/>
              <w:bottom w:val="nil"/>
              <w:right w:val="nil"/>
            </w:tcBorders>
          </w:tcPr>
          <w:p w14:paraId="56C1D8D1" w14:textId="1FA31E84"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3D3A5E3A" w14:textId="4DDDF30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6" w:type="pct"/>
            <w:tcBorders>
              <w:top w:val="nil"/>
              <w:left w:val="nil"/>
              <w:bottom w:val="nil"/>
              <w:right w:val="nil"/>
            </w:tcBorders>
          </w:tcPr>
          <w:p w14:paraId="033DB7E2" w14:textId="76268142"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c>
          <w:tcPr>
            <w:tcW w:w="507" w:type="pct"/>
            <w:tcBorders>
              <w:top w:val="nil"/>
              <w:left w:val="nil"/>
              <w:bottom w:val="nil"/>
              <w:right w:val="nil"/>
            </w:tcBorders>
          </w:tcPr>
          <w:p w14:paraId="71C40049" w14:textId="3E39CAD8"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YES</w:t>
            </w:r>
          </w:p>
        </w:tc>
      </w:tr>
      <w:tr w:rsidR="000E79A6" w:rsidRPr="005D2191" w14:paraId="1FA6E6BA" w14:textId="77777777" w:rsidTr="006677D1">
        <w:tc>
          <w:tcPr>
            <w:tcW w:w="951" w:type="pct"/>
            <w:tcBorders>
              <w:left w:val="nil"/>
              <w:bottom w:val="nil"/>
              <w:right w:val="nil"/>
            </w:tcBorders>
          </w:tcPr>
          <w:p w14:paraId="25A1B629" w14:textId="77777777" w:rsidR="000E79A6" w:rsidRPr="005D2191" w:rsidRDefault="000E79A6" w:rsidP="000E79A6">
            <w:pPr>
              <w:autoSpaceDE w:val="0"/>
              <w:autoSpaceDN w:val="0"/>
              <w:adjustRightInd w:val="0"/>
              <w:spacing w:after="60"/>
              <w:jc w:val="left"/>
              <w:rPr>
                <w:rFonts w:ascii="Times New Roman" w:hAnsi="Times New Roman"/>
                <w:kern w:val="0"/>
                <w:sz w:val="20"/>
                <w:szCs w:val="20"/>
              </w:rPr>
            </w:pPr>
            <w:r w:rsidRPr="005D2191">
              <w:rPr>
                <w:rFonts w:ascii="Times New Roman" w:hAnsi="Times New Roman"/>
                <w:kern w:val="0"/>
                <w:sz w:val="20"/>
                <w:szCs w:val="20"/>
              </w:rPr>
              <w:t>Observations</w:t>
            </w:r>
          </w:p>
        </w:tc>
        <w:tc>
          <w:tcPr>
            <w:tcW w:w="506" w:type="pct"/>
            <w:tcBorders>
              <w:top w:val="nil"/>
              <w:left w:val="nil"/>
              <w:bottom w:val="nil"/>
              <w:right w:val="nil"/>
            </w:tcBorders>
          </w:tcPr>
          <w:p w14:paraId="3FE31452" w14:textId="6936155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41</w:t>
            </w:r>
            <w:r w:rsidR="0093310A">
              <w:rPr>
                <w:rFonts w:ascii="Times New Roman" w:hAnsi="Times New Roman"/>
                <w:kern w:val="0"/>
                <w:sz w:val="20"/>
                <w:szCs w:val="20"/>
              </w:rPr>
              <w:t>,</w:t>
            </w:r>
            <w:r w:rsidRPr="005D2191">
              <w:rPr>
                <w:rFonts w:ascii="Times New Roman" w:hAnsi="Times New Roman"/>
                <w:kern w:val="0"/>
                <w:sz w:val="20"/>
                <w:szCs w:val="20"/>
              </w:rPr>
              <w:t>681</w:t>
            </w:r>
          </w:p>
        </w:tc>
        <w:tc>
          <w:tcPr>
            <w:tcW w:w="506" w:type="pct"/>
            <w:tcBorders>
              <w:top w:val="nil"/>
              <w:left w:val="nil"/>
              <w:bottom w:val="nil"/>
              <w:right w:val="nil"/>
            </w:tcBorders>
          </w:tcPr>
          <w:p w14:paraId="767ECA80" w14:textId="5ADD6187"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8</w:t>
            </w:r>
            <w:r w:rsidR="0093310A">
              <w:rPr>
                <w:rFonts w:ascii="Times New Roman" w:hAnsi="Times New Roman"/>
                <w:kern w:val="0"/>
                <w:sz w:val="20"/>
                <w:szCs w:val="20"/>
              </w:rPr>
              <w:t>,</w:t>
            </w:r>
            <w:r w:rsidRPr="005D2191">
              <w:rPr>
                <w:rFonts w:ascii="Times New Roman" w:hAnsi="Times New Roman"/>
                <w:kern w:val="0"/>
                <w:sz w:val="20"/>
                <w:szCs w:val="20"/>
              </w:rPr>
              <w:t>724</w:t>
            </w:r>
          </w:p>
        </w:tc>
        <w:tc>
          <w:tcPr>
            <w:tcW w:w="506" w:type="pct"/>
            <w:tcBorders>
              <w:top w:val="nil"/>
              <w:left w:val="nil"/>
              <w:bottom w:val="nil"/>
              <w:right w:val="nil"/>
            </w:tcBorders>
          </w:tcPr>
          <w:p w14:paraId="792B810A" w14:textId="79F35759"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15</w:t>
            </w:r>
            <w:r w:rsidR="0093310A">
              <w:rPr>
                <w:rFonts w:ascii="Times New Roman" w:hAnsi="Times New Roman"/>
                <w:kern w:val="0"/>
                <w:sz w:val="20"/>
                <w:szCs w:val="20"/>
              </w:rPr>
              <w:t>,</w:t>
            </w:r>
            <w:r w:rsidRPr="005D2191">
              <w:rPr>
                <w:rFonts w:ascii="Times New Roman" w:hAnsi="Times New Roman"/>
                <w:kern w:val="0"/>
                <w:sz w:val="20"/>
                <w:szCs w:val="20"/>
              </w:rPr>
              <w:t>681</w:t>
            </w:r>
          </w:p>
        </w:tc>
        <w:tc>
          <w:tcPr>
            <w:tcW w:w="506" w:type="pct"/>
            <w:tcBorders>
              <w:top w:val="nil"/>
              <w:left w:val="nil"/>
              <w:bottom w:val="nil"/>
              <w:right w:val="single" w:sz="4" w:space="0" w:color="auto"/>
            </w:tcBorders>
          </w:tcPr>
          <w:p w14:paraId="1502563F" w14:textId="076AF356"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16</w:t>
            </w:r>
            <w:r w:rsidR="0093310A">
              <w:rPr>
                <w:rFonts w:ascii="Times New Roman" w:hAnsi="Times New Roman"/>
                <w:kern w:val="0"/>
                <w:sz w:val="20"/>
                <w:szCs w:val="20"/>
              </w:rPr>
              <w:t>,</w:t>
            </w:r>
            <w:r w:rsidRPr="005D2191">
              <w:rPr>
                <w:rFonts w:ascii="Times New Roman" w:hAnsi="Times New Roman"/>
                <w:kern w:val="0"/>
                <w:sz w:val="20"/>
                <w:szCs w:val="20"/>
              </w:rPr>
              <w:t>727</w:t>
            </w:r>
          </w:p>
        </w:tc>
        <w:tc>
          <w:tcPr>
            <w:tcW w:w="506" w:type="pct"/>
            <w:tcBorders>
              <w:top w:val="nil"/>
              <w:left w:val="single" w:sz="4" w:space="0" w:color="auto"/>
              <w:bottom w:val="nil"/>
              <w:right w:val="nil"/>
            </w:tcBorders>
          </w:tcPr>
          <w:p w14:paraId="6D72EEA7" w14:textId="2D05E36A"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41</w:t>
            </w:r>
            <w:r w:rsidR="0093310A">
              <w:rPr>
                <w:rFonts w:ascii="Times New Roman" w:hAnsi="Times New Roman"/>
                <w:kern w:val="0"/>
                <w:sz w:val="20"/>
                <w:szCs w:val="20"/>
              </w:rPr>
              <w:t>,</w:t>
            </w:r>
            <w:r w:rsidRPr="005D2191">
              <w:rPr>
                <w:rFonts w:ascii="Times New Roman" w:hAnsi="Times New Roman"/>
                <w:kern w:val="0"/>
                <w:sz w:val="20"/>
                <w:szCs w:val="20"/>
              </w:rPr>
              <w:t>681</w:t>
            </w:r>
          </w:p>
        </w:tc>
        <w:tc>
          <w:tcPr>
            <w:tcW w:w="506" w:type="pct"/>
            <w:tcBorders>
              <w:top w:val="nil"/>
              <w:left w:val="nil"/>
              <w:bottom w:val="nil"/>
              <w:right w:val="nil"/>
            </w:tcBorders>
          </w:tcPr>
          <w:p w14:paraId="1CB1E864" w14:textId="55F223B0"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8</w:t>
            </w:r>
            <w:r w:rsidR="0093310A">
              <w:rPr>
                <w:rFonts w:ascii="Times New Roman" w:hAnsi="Times New Roman"/>
                <w:kern w:val="0"/>
                <w:sz w:val="20"/>
                <w:szCs w:val="20"/>
              </w:rPr>
              <w:t>,</w:t>
            </w:r>
            <w:r w:rsidRPr="005D2191">
              <w:rPr>
                <w:rFonts w:ascii="Times New Roman" w:hAnsi="Times New Roman"/>
                <w:kern w:val="0"/>
                <w:sz w:val="20"/>
                <w:szCs w:val="20"/>
              </w:rPr>
              <w:t>724</w:t>
            </w:r>
          </w:p>
        </w:tc>
        <w:tc>
          <w:tcPr>
            <w:tcW w:w="506" w:type="pct"/>
            <w:tcBorders>
              <w:top w:val="nil"/>
              <w:left w:val="nil"/>
              <w:bottom w:val="nil"/>
              <w:right w:val="nil"/>
            </w:tcBorders>
          </w:tcPr>
          <w:p w14:paraId="702D13D3" w14:textId="454FEA08"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15</w:t>
            </w:r>
            <w:r w:rsidR="0093310A">
              <w:rPr>
                <w:rFonts w:ascii="Times New Roman" w:hAnsi="Times New Roman"/>
                <w:kern w:val="0"/>
                <w:sz w:val="20"/>
                <w:szCs w:val="20"/>
              </w:rPr>
              <w:t>,</w:t>
            </w:r>
            <w:r w:rsidRPr="005D2191">
              <w:rPr>
                <w:rFonts w:ascii="Times New Roman" w:hAnsi="Times New Roman"/>
                <w:kern w:val="0"/>
                <w:sz w:val="20"/>
                <w:szCs w:val="20"/>
              </w:rPr>
              <w:t>681</w:t>
            </w:r>
          </w:p>
        </w:tc>
        <w:tc>
          <w:tcPr>
            <w:tcW w:w="507" w:type="pct"/>
            <w:tcBorders>
              <w:top w:val="nil"/>
              <w:left w:val="nil"/>
              <w:bottom w:val="nil"/>
              <w:right w:val="nil"/>
            </w:tcBorders>
          </w:tcPr>
          <w:p w14:paraId="0C5E7B25" w14:textId="25D21F9B" w:rsidR="000E79A6" w:rsidRPr="005D2191" w:rsidRDefault="000E79A6" w:rsidP="000E79A6">
            <w:pPr>
              <w:autoSpaceDE w:val="0"/>
              <w:autoSpaceDN w:val="0"/>
              <w:adjustRightInd w:val="0"/>
              <w:spacing w:after="60"/>
              <w:jc w:val="center"/>
              <w:rPr>
                <w:rFonts w:ascii="Times New Roman" w:hAnsi="Times New Roman"/>
                <w:kern w:val="0"/>
                <w:sz w:val="20"/>
                <w:szCs w:val="20"/>
              </w:rPr>
            </w:pPr>
            <w:r w:rsidRPr="005D2191">
              <w:rPr>
                <w:rFonts w:ascii="Times New Roman" w:hAnsi="Times New Roman"/>
                <w:kern w:val="0"/>
                <w:sz w:val="20"/>
                <w:szCs w:val="20"/>
              </w:rPr>
              <w:t>16</w:t>
            </w:r>
            <w:r w:rsidR="0093310A">
              <w:rPr>
                <w:rFonts w:ascii="Times New Roman" w:hAnsi="Times New Roman"/>
                <w:kern w:val="0"/>
                <w:sz w:val="20"/>
                <w:szCs w:val="20"/>
              </w:rPr>
              <w:t>,</w:t>
            </w:r>
            <w:r w:rsidRPr="005D2191">
              <w:rPr>
                <w:rFonts w:ascii="Times New Roman" w:hAnsi="Times New Roman"/>
                <w:kern w:val="0"/>
                <w:sz w:val="20"/>
                <w:szCs w:val="20"/>
              </w:rPr>
              <w:t>727</w:t>
            </w:r>
          </w:p>
        </w:tc>
      </w:tr>
      <w:tr w:rsidR="000E79A6" w:rsidRPr="005D2191" w14:paraId="5C83E0D6" w14:textId="77777777" w:rsidTr="006677D1">
        <w:tblPrEx>
          <w:tblBorders>
            <w:bottom w:val="single" w:sz="6" w:space="0" w:color="auto"/>
          </w:tblBorders>
        </w:tblPrEx>
        <w:tc>
          <w:tcPr>
            <w:tcW w:w="951" w:type="pct"/>
            <w:tcBorders>
              <w:top w:val="nil"/>
              <w:left w:val="nil"/>
              <w:bottom w:val="single" w:sz="4" w:space="0" w:color="auto"/>
              <w:right w:val="nil"/>
            </w:tcBorders>
          </w:tcPr>
          <w:p w14:paraId="60EE2E75" w14:textId="71350F2E" w:rsidR="000E79A6" w:rsidRPr="005D2191" w:rsidRDefault="000E79A6" w:rsidP="000E79A6">
            <w:pPr>
              <w:autoSpaceDE w:val="0"/>
              <w:autoSpaceDN w:val="0"/>
              <w:adjustRightInd w:val="0"/>
              <w:jc w:val="left"/>
              <w:rPr>
                <w:rFonts w:ascii="Times New Roman" w:hAnsi="Times New Roman"/>
                <w:kern w:val="0"/>
                <w:sz w:val="20"/>
                <w:szCs w:val="20"/>
              </w:rPr>
            </w:pPr>
            <w:r w:rsidRPr="005D2191">
              <w:rPr>
                <w:rFonts w:ascii="Times New Roman" w:hAnsi="Times New Roman"/>
                <w:kern w:val="0"/>
                <w:sz w:val="20"/>
                <w:szCs w:val="20"/>
              </w:rPr>
              <w:t>Pseudo R-squared</w:t>
            </w:r>
          </w:p>
        </w:tc>
        <w:tc>
          <w:tcPr>
            <w:tcW w:w="506" w:type="pct"/>
            <w:tcBorders>
              <w:top w:val="nil"/>
              <w:left w:val="nil"/>
              <w:bottom w:val="single" w:sz="4" w:space="0" w:color="auto"/>
              <w:right w:val="nil"/>
            </w:tcBorders>
          </w:tcPr>
          <w:p w14:paraId="662903F5" w14:textId="6FD1884F"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0.120</w:t>
            </w:r>
          </w:p>
        </w:tc>
        <w:tc>
          <w:tcPr>
            <w:tcW w:w="506" w:type="pct"/>
            <w:tcBorders>
              <w:top w:val="nil"/>
              <w:left w:val="nil"/>
              <w:bottom w:val="single" w:sz="4" w:space="0" w:color="auto"/>
              <w:right w:val="nil"/>
            </w:tcBorders>
          </w:tcPr>
          <w:p w14:paraId="3E6265BA" w14:textId="02FF15FF"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0.0858</w:t>
            </w:r>
          </w:p>
        </w:tc>
        <w:tc>
          <w:tcPr>
            <w:tcW w:w="506" w:type="pct"/>
            <w:tcBorders>
              <w:top w:val="nil"/>
              <w:left w:val="nil"/>
              <w:bottom w:val="single" w:sz="4" w:space="0" w:color="auto"/>
              <w:right w:val="nil"/>
            </w:tcBorders>
          </w:tcPr>
          <w:p w14:paraId="5FE55521"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0.157</w:t>
            </w:r>
          </w:p>
        </w:tc>
        <w:tc>
          <w:tcPr>
            <w:tcW w:w="506" w:type="pct"/>
            <w:tcBorders>
              <w:top w:val="nil"/>
              <w:left w:val="nil"/>
              <w:bottom w:val="single" w:sz="4" w:space="0" w:color="auto"/>
              <w:right w:val="single" w:sz="4" w:space="0" w:color="auto"/>
            </w:tcBorders>
          </w:tcPr>
          <w:p w14:paraId="7BFFB48B"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0.188</w:t>
            </w:r>
          </w:p>
        </w:tc>
        <w:tc>
          <w:tcPr>
            <w:tcW w:w="506" w:type="pct"/>
            <w:tcBorders>
              <w:top w:val="nil"/>
              <w:left w:val="single" w:sz="4" w:space="0" w:color="auto"/>
              <w:bottom w:val="single" w:sz="4" w:space="0" w:color="auto"/>
              <w:right w:val="nil"/>
            </w:tcBorders>
          </w:tcPr>
          <w:p w14:paraId="7811A5F7" w14:textId="736F3090"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0.118</w:t>
            </w:r>
          </w:p>
        </w:tc>
        <w:tc>
          <w:tcPr>
            <w:tcW w:w="506" w:type="pct"/>
            <w:tcBorders>
              <w:top w:val="nil"/>
              <w:left w:val="nil"/>
              <w:bottom w:val="single" w:sz="4" w:space="0" w:color="auto"/>
              <w:right w:val="nil"/>
            </w:tcBorders>
          </w:tcPr>
          <w:p w14:paraId="68AC5E23" w14:textId="6D3A7E71"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0.0854</w:t>
            </w:r>
          </w:p>
        </w:tc>
        <w:tc>
          <w:tcPr>
            <w:tcW w:w="506" w:type="pct"/>
            <w:tcBorders>
              <w:top w:val="nil"/>
              <w:left w:val="nil"/>
              <w:bottom w:val="single" w:sz="4" w:space="0" w:color="auto"/>
              <w:right w:val="nil"/>
            </w:tcBorders>
          </w:tcPr>
          <w:p w14:paraId="37A4607F"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0.156</w:t>
            </w:r>
          </w:p>
        </w:tc>
        <w:tc>
          <w:tcPr>
            <w:tcW w:w="507" w:type="pct"/>
            <w:tcBorders>
              <w:top w:val="nil"/>
              <w:left w:val="nil"/>
              <w:bottom w:val="single" w:sz="4" w:space="0" w:color="auto"/>
              <w:right w:val="nil"/>
            </w:tcBorders>
          </w:tcPr>
          <w:p w14:paraId="3816C4AD" w14:textId="77777777" w:rsidR="000E79A6" w:rsidRPr="005D2191" w:rsidRDefault="000E79A6" w:rsidP="000E79A6">
            <w:pPr>
              <w:autoSpaceDE w:val="0"/>
              <w:autoSpaceDN w:val="0"/>
              <w:adjustRightInd w:val="0"/>
              <w:jc w:val="center"/>
              <w:rPr>
                <w:rFonts w:ascii="Times New Roman" w:hAnsi="Times New Roman"/>
                <w:kern w:val="0"/>
                <w:sz w:val="20"/>
                <w:szCs w:val="20"/>
              </w:rPr>
            </w:pPr>
            <w:r w:rsidRPr="005D2191">
              <w:rPr>
                <w:rFonts w:ascii="Times New Roman" w:hAnsi="Times New Roman"/>
                <w:kern w:val="0"/>
                <w:sz w:val="20"/>
                <w:szCs w:val="20"/>
              </w:rPr>
              <w:t>0.186</w:t>
            </w:r>
          </w:p>
        </w:tc>
      </w:tr>
      <w:tr w:rsidR="000E79A6" w:rsidRPr="005D2191" w14:paraId="51E39E49" w14:textId="77777777" w:rsidTr="006677D1">
        <w:tblPrEx>
          <w:tblBorders>
            <w:bottom w:val="single" w:sz="6" w:space="0" w:color="auto"/>
          </w:tblBorders>
        </w:tblPrEx>
        <w:tc>
          <w:tcPr>
            <w:tcW w:w="5000" w:type="pct"/>
            <w:gridSpan w:val="9"/>
            <w:tcBorders>
              <w:top w:val="single" w:sz="4" w:space="0" w:color="auto"/>
              <w:left w:val="nil"/>
              <w:bottom w:val="nil"/>
              <w:right w:val="nil"/>
            </w:tcBorders>
          </w:tcPr>
          <w:p w14:paraId="421D33E1" w14:textId="1CB7CC35" w:rsidR="000E79A6" w:rsidRDefault="000E79A6" w:rsidP="000E79A6">
            <w:pPr>
              <w:autoSpaceDE w:val="0"/>
              <w:autoSpaceDN w:val="0"/>
              <w:adjustRightInd w:val="0"/>
              <w:jc w:val="left"/>
              <w:rPr>
                <w:rFonts w:ascii="Times New Roman" w:eastAsia="STFangsong" w:hAnsi="Times New Roman"/>
                <w:sz w:val="20"/>
                <w:szCs w:val="20"/>
              </w:rPr>
            </w:pPr>
            <w:r w:rsidRPr="005D2191">
              <w:rPr>
                <w:rFonts w:ascii="Times New Roman" w:eastAsia="STFangsong" w:hAnsi="Times New Roman"/>
                <w:sz w:val="20"/>
                <w:szCs w:val="20"/>
              </w:rPr>
              <w:t xml:space="preserve">This table reports </w:t>
            </w:r>
            <w:r w:rsidRPr="005D2191">
              <w:rPr>
                <w:rFonts w:ascii="Times New Roman" w:eastAsia="STFangsong" w:hAnsi="Times New Roman"/>
                <w:i/>
                <w:sz w:val="20"/>
                <w:szCs w:val="20"/>
              </w:rPr>
              <w:t>probit</w:t>
            </w:r>
            <w:r w:rsidRPr="005D2191">
              <w:rPr>
                <w:rFonts w:ascii="Times New Roman" w:eastAsia="STFangsong" w:hAnsi="Times New Roman"/>
                <w:sz w:val="20"/>
                <w:szCs w:val="20"/>
              </w:rPr>
              <w:t xml:space="preserve"> regression results on the determination of </w:t>
            </w:r>
            <w:r w:rsidRPr="005D2191">
              <w:rPr>
                <w:rFonts w:ascii="Times New Roman" w:hAnsi="Times New Roman"/>
                <w:sz w:val="20"/>
                <w:szCs w:val="20"/>
              </w:rPr>
              <w:t xml:space="preserve">SOE </w:t>
            </w:r>
            <w:r w:rsidRPr="005D2191">
              <w:rPr>
                <w:rFonts w:ascii="Times New Roman" w:eastAsia="STFangsong" w:hAnsi="Times New Roman"/>
                <w:sz w:val="20"/>
                <w:szCs w:val="20"/>
              </w:rPr>
              <w:t xml:space="preserve">decentralization. Marginal effects evaluated at the mean and standard errors are listed. </w:t>
            </w:r>
            <w:r w:rsidRPr="005D2191">
              <w:rPr>
                <w:rFonts w:ascii="Times New Roman" w:hAnsi="Times New Roman"/>
                <w:color w:val="000000"/>
                <w:kern w:val="0"/>
                <w:sz w:val="20"/>
                <w:szCs w:val="20"/>
              </w:rPr>
              <w:t>All t</w:t>
            </w:r>
            <w:r w:rsidRPr="005D2191">
              <w:rPr>
                <w:rFonts w:ascii="Times New Roman" w:eastAsia="STFangsong" w:hAnsi="Times New Roman"/>
                <w:sz w:val="20"/>
                <w:szCs w:val="20"/>
              </w:rPr>
              <w:t xml:space="preserve">hese firm-specific and province-specific variables are lagged 1 year. </w:t>
            </w:r>
          </w:p>
          <w:p w14:paraId="5221CED1" w14:textId="77777777" w:rsidR="000E79A6" w:rsidRDefault="000E79A6" w:rsidP="000E79A6">
            <w:pPr>
              <w:autoSpaceDE w:val="0"/>
              <w:autoSpaceDN w:val="0"/>
              <w:adjustRightInd w:val="0"/>
              <w:jc w:val="left"/>
              <w:rPr>
                <w:rFonts w:ascii="Times New Roman" w:eastAsia="STFangsong" w:hAnsi="Times New Roman"/>
                <w:sz w:val="20"/>
                <w:szCs w:val="20"/>
              </w:rPr>
            </w:pPr>
            <w:r w:rsidRPr="005D2191">
              <w:rPr>
                <w:rFonts w:ascii="Times New Roman" w:eastAsia="STFangsong" w:hAnsi="Times New Roman"/>
                <w:sz w:val="20"/>
                <w:szCs w:val="20"/>
              </w:rPr>
              <w:t>*, ** and *** indicate statistical significance at 10%, 5% and 1% levels, respectively.</w:t>
            </w:r>
          </w:p>
          <w:p w14:paraId="6A5B76A6" w14:textId="7607FF4A" w:rsidR="000E79A6" w:rsidRPr="005D2191" w:rsidRDefault="000E79A6" w:rsidP="000E79A6">
            <w:pPr>
              <w:autoSpaceDE w:val="0"/>
              <w:autoSpaceDN w:val="0"/>
              <w:adjustRightInd w:val="0"/>
              <w:jc w:val="left"/>
              <w:rPr>
                <w:rFonts w:ascii="Times New Roman" w:hAnsi="Times New Roman"/>
                <w:kern w:val="0"/>
                <w:sz w:val="20"/>
                <w:szCs w:val="20"/>
              </w:rPr>
            </w:pPr>
            <w:r w:rsidRPr="005D2191">
              <w:rPr>
                <w:rFonts w:ascii="Times New Roman" w:eastAsia="STFangsong" w:hAnsi="Times New Roman"/>
                <w:sz w:val="20"/>
                <w:szCs w:val="20"/>
              </w:rPr>
              <w:t>Standard errors are clustered at the level of the same oversight government.</w:t>
            </w:r>
          </w:p>
        </w:tc>
      </w:tr>
    </w:tbl>
    <w:p w14:paraId="538A8385" w14:textId="77777777" w:rsidR="00D9136D" w:rsidRDefault="00D9136D" w:rsidP="000E79A6">
      <w:pPr>
        <w:autoSpaceDE w:val="0"/>
        <w:autoSpaceDN w:val="0"/>
        <w:adjustRightInd w:val="0"/>
        <w:rPr>
          <w:rFonts w:ascii="Garamond" w:hAnsi="Garamond"/>
          <w:color w:val="FF0000"/>
          <w:kern w:val="0"/>
          <w:sz w:val="22"/>
          <w:szCs w:val="24"/>
        </w:rPr>
      </w:pPr>
    </w:p>
    <w:p w14:paraId="6B87EEAD" w14:textId="77777777" w:rsidR="00D9136D" w:rsidRDefault="00D9136D">
      <w:pPr>
        <w:widowControl/>
        <w:jc w:val="left"/>
        <w:rPr>
          <w:rFonts w:ascii="Garamond" w:hAnsi="Garamond"/>
          <w:color w:val="FF0000"/>
          <w:kern w:val="0"/>
          <w:sz w:val="22"/>
          <w:szCs w:val="24"/>
        </w:rPr>
      </w:pPr>
      <w:r>
        <w:rPr>
          <w:rFonts w:ascii="Garamond" w:hAnsi="Garamond"/>
          <w:color w:val="FF0000"/>
          <w:kern w:val="0"/>
          <w:sz w:val="22"/>
          <w:szCs w:val="24"/>
        </w:rPr>
        <w:br w:type="page"/>
      </w:r>
    </w:p>
    <w:p w14:paraId="58DC4574" w14:textId="77777777" w:rsidR="00D9136D" w:rsidRPr="00EE7169" w:rsidRDefault="00D9136D" w:rsidP="00D9136D">
      <w:pPr>
        <w:widowControl/>
        <w:jc w:val="center"/>
        <w:rPr>
          <w:rFonts w:ascii="Garamond" w:hAnsi="Garamond"/>
          <w:b/>
          <w:kern w:val="0"/>
          <w:sz w:val="24"/>
          <w:szCs w:val="24"/>
        </w:rPr>
      </w:pPr>
      <w:r w:rsidRPr="00EE7169">
        <w:rPr>
          <w:rFonts w:ascii="Garamond" w:hAnsi="Garamond"/>
          <w:b/>
          <w:kern w:val="0"/>
          <w:sz w:val="24"/>
          <w:szCs w:val="24"/>
        </w:rPr>
        <w:lastRenderedPageBreak/>
        <w:t xml:space="preserve">Table </w:t>
      </w:r>
      <w:r>
        <w:rPr>
          <w:rFonts w:ascii="Garamond" w:hAnsi="Garamond"/>
          <w:b/>
          <w:kern w:val="0"/>
          <w:sz w:val="24"/>
          <w:szCs w:val="24"/>
        </w:rPr>
        <w:t>5</w:t>
      </w:r>
      <w:r w:rsidRPr="00EE7169">
        <w:rPr>
          <w:rFonts w:ascii="Garamond" w:hAnsi="Garamond"/>
          <w:b/>
          <w:kern w:val="0"/>
          <w:sz w:val="24"/>
          <w:szCs w:val="24"/>
        </w:rPr>
        <w:t>. Determinants of the Decentralization – Multinomial logit model</w:t>
      </w:r>
    </w:p>
    <w:tbl>
      <w:tblPr>
        <w:tblW w:w="5000" w:type="pct"/>
        <w:jc w:val="center"/>
        <w:tblCellMar>
          <w:left w:w="75" w:type="dxa"/>
          <w:right w:w="75" w:type="dxa"/>
        </w:tblCellMar>
        <w:tblLook w:val="0000" w:firstRow="0" w:lastRow="0" w:firstColumn="0" w:lastColumn="0" w:noHBand="0" w:noVBand="0"/>
      </w:tblPr>
      <w:tblGrid>
        <w:gridCol w:w="4321"/>
        <w:gridCol w:w="4321"/>
        <w:gridCol w:w="4318"/>
      </w:tblGrid>
      <w:tr w:rsidR="00D9136D" w:rsidRPr="00EE7169" w14:paraId="3E0F188F" w14:textId="77777777" w:rsidTr="00665894">
        <w:trPr>
          <w:jc w:val="center"/>
        </w:trPr>
        <w:tc>
          <w:tcPr>
            <w:tcW w:w="1667" w:type="pct"/>
            <w:vMerge w:val="restart"/>
            <w:tcBorders>
              <w:top w:val="single" w:sz="4" w:space="0" w:color="auto"/>
              <w:left w:val="nil"/>
              <w:right w:val="nil"/>
            </w:tcBorders>
          </w:tcPr>
          <w:p w14:paraId="15614E7B" w14:textId="77777777" w:rsidR="00D9136D" w:rsidRPr="00EE7169" w:rsidRDefault="00D9136D" w:rsidP="00665894">
            <w:pPr>
              <w:autoSpaceDE w:val="0"/>
              <w:autoSpaceDN w:val="0"/>
              <w:adjustRightInd w:val="0"/>
              <w:jc w:val="center"/>
              <w:rPr>
                <w:rFonts w:ascii="Garamond" w:hAnsi="Garamond"/>
                <w:kern w:val="0"/>
                <w:sz w:val="22"/>
              </w:rPr>
            </w:pPr>
          </w:p>
        </w:tc>
        <w:tc>
          <w:tcPr>
            <w:tcW w:w="1667" w:type="pct"/>
            <w:tcBorders>
              <w:top w:val="single" w:sz="4" w:space="0" w:color="auto"/>
              <w:left w:val="nil"/>
              <w:bottom w:val="single" w:sz="6" w:space="0" w:color="auto"/>
              <w:right w:val="nil"/>
            </w:tcBorders>
          </w:tcPr>
          <w:p w14:paraId="510C8845"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(1)</w:t>
            </w:r>
          </w:p>
        </w:tc>
        <w:tc>
          <w:tcPr>
            <w:tcW w:w="1666" w:type="pct"/>
            <w:tcBorders>
              <w:top w:val="single" w:sz="4" w:space="0" w:color="auto"/>
              <w:left w:val="nil"/>
              <w:bottom w:val="single" w:sz="6" w:space="0" w:color="auto"/>
              <w:right w:val="nil"/>
            </w:tcBorders>
          </w:tcPr>
          <w:p w14:paraId="68D492C2"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(2)</w:t>
            </w:r>
          </w:p>
        </w:tc>
      </w:tr>
      <w:tr w:rsidR="00D9136D" w:rsidRPr="00EE7169" w14:paraId="70E57FD8" w14:textId="77777777" w:rsidTr="00665894">
        <w:trPr>
          <w:jc w:val="center"/>
        </w:trPr>
        <w:tc>
          <w:tcPr>
            <w:tcW w:w="1667" w:type="pct"/>
            <w:vMerge/>
            <w:tcBorders>
              <w:left w:val="nil"/>
              <w:right w:val="nil"/>
            </w:tcBorders>
          </w:tcPr>
          <w:p w14:paraId="642DF7FE" w14:textId="77777777" w:rsidR="00D9136D" w:rsidRPr="00EE7169" w:rsidRDefault="00D9136D" w:rsidP="00665894">
            <w:pPr>
              <w:autoSpaceDE w:val="0"/>
              <w:autoSpaceDN w:val="0"/>
              <w:adjustRightInd w:val="0"/>
              <w:jc w:val="center"/>
              <w:rPr>
                <w:rFonts w:ascii="Garamond" w:hAnsi="Garamond"/>
                <w:kern w:val="0"/>
                <w:sz w:val="22"/>
              </w:rPr>
            </w:pPr>
          </w:p>
        </w:tc>
        <w:tc>
          <w:tcPr>
            <w:tcW w:w="3333" w:type="pct"/>
            <w:gridSpan w:val="2"/>
            <w:tcBorders>
              <w:top w:val="single" w:sz="4" w:space="0" w:color="auto"/>
              <w:left w:val="nil"/>
              <w:bottom w:val="single" w:sz="6" w:space="0" w:color="auto"/>
              <w:right w:val="nil"/>
            </w:tcBorders>
          </w:tcPr>
          <w:p w14:paraId="528FC781"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 xml:space="preserve">Baseline option: </w:t>
            </w:r>
            <w:r w:rsidRPr="00EE7169">
              <w:rPr>
                <w:rFonts w:ascii="Garamond" w:hAnsi="Garamond"/>
                <w:i/>
                <w:kern w:val="0"/>
                <w:sz w:val="22"/>
              </w:rPr>
              <w:t xml:space="preserve">neither privatized nor decentralized  </w:t>
            </w:r>
          </w:p>
        </w:tc>
      </w:tr>
      <w:tr w:rsidR="00D9136D" w:rsidRPr="00EE7169" w14:paraId="2FA912E9" w14:textId="77777777" w:rsidTr="00665894">
        <w:trPr>
          <w:jc w:val="center"/>
        </w:trPr>
        <w:tc>
          <w:tcPr>
            <w:tcW w:w="1667" w:type="pct"/>
            <w:vMerge/>
            <w:tcBorders>
              <w:left w:val="nil"/>
              <w:bottom w:val="single" w:sz="6" w:space="0" w:color="auto"/>
              <w:right w:val="nil"/>
            </w:tcBorders>
          </w:tcPr>
          <w:p w14:paraId="2F667576" w14:textId="77777777" w:rsidR="00D9136D" w:rsidRPr="00EE7169" w:rsidRDefault="00D9136D" w:rsidP="00665894">
            <w:pPr>
              <w:autoSpaceDE w:val="0"/>
              <w:autoSpaceDN w:val="0"/>
              <w:adjustRightInd w:val="0"/>
              <w:jc w:val="center"/>
              <w:rPr>
                <w:rFonts w:ascii="Garamond" w:hAnsi="Garamond"/>
                <w:kern w:val="0"/>
                <w:sz w:val="22"/>
              </w:rPr>
            </w:pPr>
          </w:p>
        </w:tc>
        <w:tc>
          <w:tcPr>
            <w:tcW w:w="1667" w:type="pct"/>
            <w:tcBorders>
              <w:top w:val="single" w:sz="4" w:space="0" w:color="auto"/>
              <w:left w:val="nil"/>
              <w:bottom w:val="single" w:sz="6" w:space="0" w:color="auto"/>
              <w:right w:val="nil"/>
            </w:tcBorders>
          </w:tcPr>
          <w:p w14:paraId="08B4EA3D"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 xml:space="preserve">Second option: </w:t>
            </w:r>
            <w:r w:rsidRPr="00EE7169">
              <w:rPr>
                <w:rFonts w:ascii="Garamond" w:hAnsi="Garamond"/>
                <w:i/>
                <w:kern w:val="0"/>
                <w:sz w:val="22"/>
              </w:rPr>
              <w:t>Privatized</w:t>
            </w:r>
          </w:p>
        </w:tc>
        <w:tc>
          <w:tcPr>
            <w:tcW w:w="1666" w:type="pct"/>
            <w:tcBorders>
              <w:top w:val="single" w:sz="4" w:space="0" w:color="auto"/>
              <w:left w:val="nil"/>
              <w:bottom w:val="single" w:sz="6" w:space="0" w:color="auto"/>
              <w:right w:val="nil"/>
            </w:tcBorders>
          </w:tcPr>
          <w:p w14:paraId="1F8AECBF"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 xml:space="preserve">Third option: </w:t>
            </w:r>
            <w:r w:rsidRPr="00EE7169">
              <w:rPr>
                <w:rFonts w:ascii="Garamond" w:hAnsi="Garamond"/>
                <w:i/>
                <w:kern w:val="0"/>
                <w:sz w:val="22"/>
              </w:rPr>
              <w:t>Decentralized</w:t>
            </w:r>
          </w:p>
        </w:tc>
      </w:tr>
      <w:tr w:rsidR="00D9136D" w:rsidRPr="00EE7169" w14:paraId="7661CA0C" w14:textId="77777777" w:rsidTr="00665894">
        <w:trPr>
          <w:jc w:val="center"/>
        </w:trPr>
        <w:tc>
          <w:tcPr>
            <w:tcW w:w="1667" w:type="pct"/>
            <w:vMerge w:val="restart"/>
            <w:tcBorders>
              <w:top w:val="nil"/>
              <w:left w:val="nil"/>
              <w:right w:val="nil"/>
            </w:tcBorders>
          </w:tcPr>
          <w:p w14:paraId="04473EFA"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Distance</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3C47B77D" w14:textId="77777777" w:rsidR="00D9136D" w:rsidRPr="00EE7169" w:rsidRDefault="00D9136D" w:rsidP="00665894">
            <w:pPr>
              <w:jc w:val="center"/>
              <w:rPr>
                <w:rFonts w:ascii="Garamond" w:eastAsia="Arial Unicode MS" w:hAnsi="Garamond"/>
                <w:color w:val="000000"/>
                <w:sz w:val="22"/>
              </w:rPr>
            </w:pPr>
            <w:r w:rsidRPr="00EE7169">
              <w:rPr>
                <w:rFonts w:ascii="Garamond" w:eastAsia="Arial Unicode MS" w:hAnsi="Garamond"/>
                <w:color w:val="000000"/>
                <w:sz w:val="22"/>
              </w:rPr>
              <w:t>-0.0088</w:t>
            </w:r>
          </w:p>
        </w:tc>
        <w:tc>
          <w:tcPr>
            <w:tcW w:w="1666" w:type="pct"/>
            <w:tcBorders>
              <w:top w:val="nil"/>
              <w:left w:val="nil"/>
              <w:bottom w:val="nil"/>
              <w:right w:val="nil"/>
            </w:tcBorders>
          </w:tcPr>
          <w:p w14:paraId="265718DE"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0.0054***</w:t>
            </w:r>
          </w:p>
        </w:tc>
      </w:tr>
      <w:tr w:rsidR="00D9136D" w:rsidRPr="00EE7169" w14:paraId="1D550EA6" w14:textId="77777777" w:rsidTr="00665894">
        <w:trPr>
          <w:jc w:val="center"/>
        </w:trPr>
        <w:tc>
          <w:tcPr>
            <w:tcW w:w="1667" w:type="pct"/>
            <w:vMerge/>
            <w:tcBorders>
              <w:left w:val="nil"/>
              <w:bottom w:val="nil"/>
              <w:right w:val="nil"/>
            </w:tcBorders>
          </w:tcPr>
          <w:p w14:paraId="2091208D"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7A9A942A" w14:textId="77777777" w:rsidR="00D9136D" w:rsidRPr="00EE7169" w:rsidRDefault="00D9136D" w:rsidP="00665894">
            <w:pPr>
              <w:jc w:val="center"/>
              <w:rPr>
                <w:rFonts w:ascii="Garamond" w:eastAsia="Arial Unicode MS" w:hAnsi="Garamond"/>
                <w:color w:val="000000"/>
                <w:sz w:val="22"/>
              </w:rPr>
            </w:pPr>
            <w:r w:rsidRPr="00EE7169">
              <w:rPr>
                <w:rFonts w:ascii="Garamond" w:hAnsi="Garamond"/>
                <w:kern w:val="0"/>
                <w:sz w:val="22"/>
              </w:rPr>
              <w:t>(0.0014)</w:t>
            </w:r>
          </w:p>
        </w:tc>
        <w:tc>
          <w:tcPr>
            <w:tcW w:w="1666" w:type="pct"/>
            <w:tcBorders>
              <w:top w:val="nil"/>
              <w:left w:val="nil"/>
              <w:bottom w:val="nil"/>
              <w:right w:val="nil"/>
            </w:tcBorders>
          </w:tcPr>
          <w:p w14:paraId="17331263"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(0.0009)</w:t>
            </w:r>
          </w:p>
        </w:tc>
      </w:tr>
      <w:tr w:rsidR="00D9136D" w:rsidRPr="00EE7169" w14:paraId="6405CD56" w14:textId="77777777" w:rsidTr="00665894">
        <w:trPr>
          <w:jc w:val="center"/>
        </w:trPr>
        <w:tc>
          <w:tcPr>
            <w:tcW w:w="1667" w:type="pct"/>
            <w:vMerge w:val="restart"/>
            <w:tcBorders>
              <w:top w:val="nil"/>
              <w:left w:val="nil"/>
              <w:right w:val="nil"/>
            </w:tcBorders>
          </w:tcPr>
          <w:p w14:paraId="631FAFFF"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Firm asset</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51AFC498" w14:textId="77777777" w:rsidR="00D9136D" w:rsidRPr="00EE7169" w:rsidRDefault="00D9136D" w:rsidP="00665894">
            <w:pPr>
              <w:jc w:val="center"/>
              <w:rPr>
                <w:rFonts w:ascii="Garamond" w:eastAsia="Arial Unicode MS" w:hAnsi="Garamond"/>
                <w:color w:val="000000"/>
                <w:sz w:val="22"/>
              </w:rPr>
            </w:pPr>
            <w:r w:rsidRPr="00EE7169">
              <w:rPr>
                <w:rFonts w:ascii="Garamond" w:eastAsia="Arial Unicode MS" w:hAnsi="Garamond"/>
                <w:color w:val="000000"/>
                <w:sz w:val="22"/>
              </w:rPr>
              <w:t>-0.0173***</w:t>
            </w:r>
          </w:p>
        </w:tc>
        <w:tc>
          <w:tcPr>
            <w:tcW w:w="1666" w:type="pct"/>
            <w:tcBorders>
              <w:top w:val="nil"/>
              <w:left w:val="nil"/>
              <w:bottom w:val="nil"/>
              <w:right w:val="nil"/>
            </w:tcBorders>
          </w:tcPr>
          <w:p w14:paraId="5F15D7D4"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-0.0015**</w:t>
            </w:r>
          </w:p>
        </w:tc>
      </w:tr>
      <w:tr w:rsidR="00D9136D" w:rsidRPr="00EE7169" w14:paraId="0302E36F" w14:textId="77777777" w:rsidTr="00665894">
        <w:trPr>
          <w:jc w:val="center"/>
        </w:trPr>
        <w:tc>
          <w:tcPr>
            <w:tcW w:w="1667" w:type="pct"/>
            <w:vMerge/>
            <w:tcBorders>
              <w:left w:val="nil"/>
              <w:bottom w:val="nil"/>
              <w:right w:val="nil"/>
            </w:tcBorders>
          </w:tcPr>
          <w:p w14:paraId="4DA3369B"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0972B466" w14:textId="77777777" w:rsidR="00D9136D" w:rsidRPr="00EE7169" w:rsidRDefault="00D9136D" w:rsidP="00665894">
            <w:pPr>
              <w:jc w:val="center"/>
              <w:rPr>
                <w:rFonts w:ascii="Garamond" w:hAnsi="Garamond"/>
                <w:kern w:val="0"/>
                <w:sz w:val="22"/>
              </w:rPr>
            </w:pPr>
            <w:r w:rsidRPr="00EE7169">
              <w:rPr>
                <w:rFonts w:ascii="Garamond" w:eastAsia="Arial Unicode MS" w:hAnsi="Garamond"/>
                <w:color w:val="000000"/>
                <w:sz w:val="22"/>
              </w:rPr>
              <w:t>(0.0011</w:t>
            </w:r>
            <w:r w:rsidRPr="00EE7169">
              <w:rPr>
                <w:rFonts w:ascii="Garamond" w:hAnsi="Garamond"/>
                <w:kern w:val="0"/>
                <w:sz w:val="22"/>
              </w:rPr>
              <w:t>)</w:t>
            </w:r>
          </w:p>
        </w:tc>
        <w:tc>
          <w:tcPr>
            <w:tcW w:w="1666" w:type="pct"/>
            <w:tcBorders>
              <w:top w:val="nil"/>
              <w:left w:val="nil"/>
              <w:bottom w:val="nil"/>
              <w:right w:val="nil"/>
            </w:tcBorders>
          </w:tcPr>
          <w:p w14:paraId="107F699A"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(0.0006)</w:t>
            </w:r>
          </w:p>
        </w:tc>
      </w:tr>
      <w:tr w:rsidR="00D9136D" w:rsidRPr="00EE7169" w14:paraId="0E644AE4" w14:textId="77777777" w:rsidTr="00665894">
        <w:trPr>
          <w:jc w:val="center"/>
        </w:trPr>
        <w:tc>
          <w:tcPr>
            <w:tcW w:w="1667" w:type="pct"/>
            <w:vMerge w:val="restart"/>
            <w:tcBorders>
              <w:top w:val="nil"/>
              <w:left w:val="nil"/>
              <w:right w:val="nil"/>
            </w:tcBorders>
          </w:tcPr>
          <w:p w14:paraId="20DBCC6D"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ROS</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2B3E46CC"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-0.0502***</w:t>
            </w:r>
          </w:p>
        </w:tc>
        <w:tc>
          <w:tcPr>
            <w:tcW w:w="1666" w:type="pct"/>
            <w:tcBorders>
              <w:top w:val="nil"/>
              <w:left w:val="nil"/>
              <w:bottom w:val="nil"/>
              <w:right w:val="nil"/>
            </w:tcBorders>
          </w:tcPr>
          <w:p w14:paraId="0F2EB862"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-0.0022***</w:t>
            </w:r>
          </w:p>
        </w:tc>
      </w:tr>
      <w:tr w:rsidR="00D9136D" w:rsidRPr="00EE7169" w14:paraId="76FF18F5" w14:textId="77777777" w:rsidTr="00665894">
        <w:trPr>
          <w:jc w:val="center"/>
        </w:trPr>
        <w:tc>
          <w:tcPr>
            <w:tcW w:w="1667" w:type="pct"/>
            <w:vMerge/>
            <w:tcBorders>
              <w:left w:val="nil"/>
              <w:bottom w:val="nil"/>
              <w:right w:val="nil"/>
            </w:tcBorders>
          </w:tcPr>
          <w:p w14:paraId="3899C4A7"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7E19FA81"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(0.0037)</w:t>
            </w:r>
          </w:p>
        </w:tc>
        <w:tc>
          <w:tcPr>
            <w:tcW w:w="1666" w:type="pct"/>
            <w:tcBorders>
              <w:top w:val="nil"/>
              <w:left w:val="nil"/>
              <w:bottom w:val="nil"/>
              <w:right w:val="nil"/>
            </w:tcBorders>
          </w:tcPr>
          <w:p w14:paraId="45AC1DC6"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(0.0007)</w:t>
            </w:r>
          </w:p>
        </w:tc>
      </w:tr>
      <w:tr w:rsidR="00D9136D" w:rsidRPr="00EE7169" w14:paraId="7A9FDE7E" w14:textId="77777777" w:rsidTr="00665894">
        <w:trPr>
          <w:jc w:val="center"/>
        </w:trPr>
        <w:tc>
          <w:tcPr>
            <w:tcW w:w="1667" w:type="pct"/>
            <w:vMerge w:val="restart"/>
            <w:tcBorders>
              <w:top w:val="nil"/>
              <w:left w:val="nil"/>
              <w:right w:val="nil"/>
            </w:tcBorders>
          </w:tcPr>
          <w:p w14:paraId="336D5BA7"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Firm importance</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0561D7D5"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-0.0215***</w:t>
            </w:r>
          </w:p>
        </w:tc>
        <w:tc>
          <w:tcPr>
            <w:tcW w:w="1666" w:type="pct"/>
            <w:tcBorders>
              <w:top w:val="nil"/>
              <w:left w:val="nil"/>
              <w:bottom w:val="nil"/>
              <w:right w:val="nil"/>
            </w:tcBorders>
          </w:tcPr>
          <w:p w14:paraId="15A1C8C5"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-0.0060**</w:t>
            </w:r>
          </w:p>
        </w:tc>
      </w:tr>
      <w:tr w:rsidR="00D9136D" w:rsidRPr="00EE7169" w14:paraId="5DE9DB22" w14:textId="77777777" w:rsidTr="00665894">
        <w:trPr>
          <w:jc w:val="center"/>
        </w:trPr>
        <w:tc>
          <w:tcPr>
            <w:tcW w:w="1667" w:type="pct"/>
            <w:vMerge/>
            <w:tcBorders>
              <w:left w:val="nil"/>
              <w:bottom w:val="nil"/>
              <w:right w:val="nil"/>
            </w:tcBorders>
          </w:tcPr>
          <w:p w14:paraId="62277910"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1F5C4D3B"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(0.0062)</w:t>
            </w:r>
          </w:p>
        </w:tc>
        <w:tc>
          <w:tcPr>
            <w:tcW w:w="1666" w:type="pct"/>
            <w:tcBorders>
              <w:top w:val="nil"/>
              <w:left w:val="nil"/>
              <w:bottom w:val="nil"/>
              <w:right w:val="nil"/>
            </w:tcBorders>
          </w:tcPr>
          <w:p w14:paraId="330B91EC"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(0.0028)</w:t>
            </w:r>
          </w:p>
        </w:tc>
      </w:tr>
      <w:tr w:rsidR="00D9136D" w:rsidRPr="00EE7169" w14:paraId="47F7EF16" w14:textId="77777777" w:rsidTr="00665894">
        <w:trPr>
          <w:jc w:val="center"/>
        </w:trPr>
        <w:tc>
          <w:tcPr>
            <w:tcW w:w="1667" w:type="pct"/>
            <w:vMerge w:val="restart"/>
            <w:tcBorders>
              <w:top w:val="nil"/>
              <w:left w:val="nil"/>
              <w:right w:val="nil"/>
            </w:tcBorders>
          </w:tcPr>
          <w:p w14:paraId="6F887D5E"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Fully state-owned</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623E6D11"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-0.0313***</w:t>
            </w:r>
          </w:p>
        </w:tc>
        <w:tc>
          <w:tcPr>
            <w:tcW w:w="1666" w:type="pct"/>
            <w:tcBorders>
              <w:top w:val="nil"/>
              <w:left w:val="nil"/>
              <w:bottom w:val="nil"/>
              <w:right w:val="nil"/>
            </w:tcBorders>
          </w:tcPr>
          <w:p w14:paraId="0FEB1100"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-0.0074***</w:t>
            </w:r>
          </w:p>
        </w:tc>
      </w:tr>
      <w:tr w:rsidR="00D9136D" w:rsidRPr="00EE7169" w14:paraId="65C7B540" w14:textId="77777777" w:rsidTr="00665894">
        <w:trPr>
          <w:jc w:val="center"/>
        </w:trPr>
        <w:tc>
          <w:tcPr>
            <w:tcW w:w="1667" w:type="pct"/>
            <w:vMerge/>
            <w:tcBorders>
              <w:left w:val="nil"/>
              <w:bottom w:val="nil"/>
              <w:right w:val="nil"/>
            </w:tcBorders>
          </w:tcPr>
          <w:p w14:paraId="0D9C00C7"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34D68758"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(0.0046)</w:t>
            </w:r>
          </w:p>
        </w:tc>
        <w:tc>
          <w:tcPr>
            <w:tcW w:w="1666" w:type="pct"/>
            <w:tcBorders>
              <w:top w:val="nil"/>
              <w:left w:val="nil"/>
              <w:bottom w:val="nil"/>
              <w:right w:val="nil"/>
            </w:tcBorders>
          </w:tcPr>
          <w:p w14:paraId="25130586"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(0.0018)</w:t>
            </w:r>
          </w:p>
        </w:tc>
      </w:tr>
      <w:tr w:rsidR="00D9136D" w:rsidRPr="00EE7169" w14:paraId="3582EBBA" w14:textId="77777777" w:rsidTr="00665894">
        <w:trPr>
          <w:jc w:val="center"/>
        </w:trPr>
        <w:tc>
          <w:tcPr>
            <w:tcW w:w="1667" w:type="pct"/>
            <w:vMerge w:val="restart"/>
            <w:tcBorders>
              <w:top w:val="nil"/>
              <w:left w:val="nil"/>
              <w:right w:val="nil"/>
            </w:tcBorders>
          </w:tcPr>
          <w:p w14:paraId="398154B5" w14:textId="77777777" w:rsidR="00D9136D" w:rsidRPr="00EE7169" w:rsidRDefault="00D9136D" w:rsidP="00665894">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GDP per capita</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319B7248"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0.0170</w:t>
            </w:r>
          </w:p>
        </w:tc>
        <w:tc>
          <w:tcPr>
            <w:tcW w:w="1666" w:type="pct"/>
            <w:tcBorders>
              <w:top w:val="nil"/>
              <w:left w:val="nil"/>
              <w:bottom w:val="nil"/>
              <w:right w:val="nil"/>
            </w:tcBorders>
          </w:tcPr>
          <w:p w14:paraId="337BF56B"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-0.0002</w:t>
            </w:r>
          </w:p>
        </w:tc>
      </w:tr>
      <w:tr w:rsidR="00D9136D" w:rsidRPr="00EE7169" w14:paraId="20C874C5" w14:textId="77777777" w:rsidTr="00665894">
        <w:trPr>
          <w:jc w:val="center"/>
        </w:trPr>
        <w:tc>
          <w:tcPr>
            <w:tcW w:w="1667" w:type="pct"/>
            <w:vMerge/>
            <w:tcBorders>
              <w:left w:val="nil"/>
              <w:bottom w:val="nil"/>
              <w:right w:val="nil"/>
            </w:tcBorders>
          </w:tcPr>
          <w:p w14:paraId="7A9A20F3"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05EEF714"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(0.0109)</w:t>
            </w:r>
          </w:p>
        </w:tc>
        <w:tc>
          <w:tcPr>
            <w:tcW w:w="1666" w:type="pct"/>
            <w:tcBorders>
              <w:top w:val="nil"/>
              <w:left w:val="nil"/>
              <w:bottom w:val="nil"/>
              <w:right w:val="nil"/>
            </w:tcBorders>
          </w:tcPr>
          <w:p w14:paraId="3B8963DA"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(0.0028)</w:t>
            </w:r>
          </w:p>
        </w:tc>
      </w:tr>
      <w:tr w:rsidR="00D9136D" w:rsidRPr="00EE7169" w14:paraId="68979640" w14:textId="77777777" w:rsidTr="00665894">
        <w:trPr>
          <w:jc w:val="center"/>
        </w:trPr>
        <w:tc>
          <w:tcPr>
            <w:tcW w:w="1667" w:type="pct"/>
            <w:vMerge w:val="restart"/>
            <w:tcBorders>
              <w:top w:val="nil"/>
              <w:left w:val="nil"/>
              <w:right w:val="nil"/>
            </w:tcBorders>
          </w:tcPr>
          <w:p w14:paraId="4534637C" w14:textId="77777777" w:rsidR="00D9136D" w:rsidRPr="00EE7169" w:rsidRDefault="00D9136D" w:rsidP="00665894">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State sector share</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05D9758D"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0.1848**</w:t>
            </w:r>
          </w:p>
        </w:tc>
        <w:tc>
          <w:tcPr>
            <w:tcW w:w="1666" w:type="pct"/>
            <w:tcBorders>
              <w:top w:val="nil"/>
              <w:left w:val="nil"/>
              <w:bottom w:val="nil"/>
              <w:right w:val="nil"/>
            </w:tcBorders>
          </w:tcPr>
          <w:p w14:paraId="027F4C1D"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-0.0166</w:t>
            </w:r>
          </w:p>
        </w:tc>
      </w:tr>
      <w:tr w:rsidR="00D9136D" w:rsidRPr="00EE7169" w14:paraId="6E274820" w14:textId="77777777" w:rsidTr="00665894">
        <w:trPr>
          <w:jc w:val="center"/>
        </w:trPr>
        <w:tc>
          <w:tcPr>
            <w:tcW w:w="1667" w:type="pct"/>
            <w:vMerge/>
            <w:tcBorders>
              <w:left w:val="nil"/>
              <w:bottom w:val="nil"/>
              <w:right w:val="nil"/>
            </w:tcBorders>
          </w:tcPr>
          <w:p w14:paraId="1A6C0B6B"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3DFEBD25"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(0.0178)</w:t>
            </w:r>
          </w:p>
        </w:tc>
        <w:tc>
          <w:tcPr>
            <w:tcW w:w="1666" w:type="pct"/>
            <w:tcBorders>
              <w:top w:val="nil"/>
              <w:left w:val="nil"/>
              <w:bottom w:val="nil"/>
              <w:right w:val="nil"/>
            </w:tcBorders>
          </w:tcPr>
          <w:p w14:paraId="70AB13E6"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(0.00207)</w:t>
            </w:r>
          </w:p>
        </w:tc>
      </w:tr>
      <w:tr w:rsidR="00D9136D" w:rsidRPr="00EE7169" w14:paraId="6EB0419B" w14:textId="77777777" w:rsidTr="00665894">
        <w:trPr>
          <w:jc w:val="center"/>
        </w:trPr>
        <w:tc>
          <w:tcPr>
            <w:tcW w:w="1667" w:type="pct"/>
            <w:vMerge w:val="restart"/>
            <w:tcBorders>
              <w:top w:val="nil"/>
              <w:left w:val="nil"/>
              <w:right w:val="nil"/>
            </w:tcBorders>
          </w:tcPr>
          <w:p w14:paraId="7406F147" w14:textId="77777777" w:rsidR="00D9136D" w:rsidRPr="00EE7169" w:rsidRDefault="00D9136D" w:rsidP="00665894">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Unemployment rate</w:t>
            </w:r>
            <w:r w:rsidRPr="00EE7169">
              <w:rPr>
                <w:rFonts w:ascii="Garamond" w:hAnsi="Garamond"/>
                <w:kern w:val="0"/>
                <w:sz w:val="22"/>
                <w:vertAlign w:val="subscript"/>
              </w:rPr>
              <w:t xml:space="preserve"> (t-1)</w:t>
            </w:r>
          </w:p>
        </w:tc>
        <w:tc>
          <w:tcPr>
            <w:tcW w:w="1667" w:type="pct"/>
            <w:tcBorders>
              <w:top w:val="nil"/>
              <w:left w:val="nil"/>
              <w:bottom w:val="nil"/>
              <w:right w:val="nil"/>
            </w:tcBorders>
          </w:tcPr>
          <w:p w14:paraId="49632229"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-0.0007</w:t>
            </w:r>
          </w:p>
        </w:tc>
        <w:tc>
          <w:tcPr>
            <w:tcW w:w="1666" w:type="pct"/>
            <w:tcBorders>
              <w:top w:val="nil"/>
              <w:left w:val="nil"/>
              <w:bottom w:val="nil"/>
              <w:right w:val="nil"/>
            </w:tcBorders>
          </w:tcPr>
          <w:p w14:paraId="7B2251FD"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-0.0012</w:t>
            </w:r>
          </w:p>
        </w:tc>
      </w:tr>
      <w:tr w:rsidR="00D9136D" w:rsidRPr="00EE7169" w14:paraId="1B6FEF3C" w14:textId="77777777" w:rsidTr="00665894">
        <w:trPr>
          <w:jc w:val="center"/>
        </w:trPr>
        <w:tc>
          <w:tcPr>
            <w:tcW w:w="1667" w:type="pct"/>
            <w:vMerge/>
            <w:tcBorders>
              <w:left w:val="nil"/>
              <w:bottom w:val="nil"/>
              <w:right w:val="nil"/>
            </w:tcBorders>
          </w:tcPr>
          <w:p w14:paraId="7AD1CA52" w14:textId="77777777" w:rsidR="00D9136D" w:rsidRPr="00EE7169" w:rsidRDefault="00D9136D" w:rsidP="00665894">
            <w:pPr>
              <w:autoSpaceDE w:val="0"/>
              <w:autoSpaceDN w:val="0"/>
              <w:adjustRightInd w:val="0"/>
              <w:jc w:val="left"/>
              <w:rPr>
                <w:rFonts w:ascii="Garamond" w:hAnsi="Garamond"/>
                <w:kern w:val="0"/>
                <w:sz w:val="22"/>
              </w:rPr>
            </w:pPr>
          </w:p>
        </w:tc>
        <w:tc>
          <w:tcPr>
            <w:tcW w:w="1667" w:type="pct"/>
            <w:tcBorders>
              <w:top w:val="nil"/>
              <w:left w:val="nil"/>
              <w:bottom w:val="nil"/>
              <w:right w:val="nil"/>
            </w:tcBorders>
          </w:tcPr>
          <w:p w14:paraId="5D4BA519"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(0.0034)</w:t>
            </w:r>
          </w:p>
        </w:tc>
        <w:tc>
          <w:tcPr>
            <w:tcW w:w="1666" w:type="pct"/>
            <w:tcBorders>
              <w:top w:val="nil"/>
              <w:left w:val="nil"/>
              <w:bottom w:val="nil"/>
              <w:right w:val="nil"/>
            </w:tcBorders>
          </w:tcPr>
          <w:p w14:paraId="3A098CEB"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(0.0017)</w:t>
            </w:r>
          </w:p>
        </w:tc>
      </w:tr>
      <w:tr w:rsidR="00D9136D" w:rsidRPr="00EE7169" w14:paraId="13DC68C0" w14:textId="77777777" w:rsidTr="00665894">
        <w:trPr>
          <w:jc w:val="center"/>
        </w:trPr>
        <w:tc>
          <w:tcPr>
            <w:tcW w:w="1667" w:type="pct"/>
            <w:tcBorders>
              <w:left w:val="nil"/>
              <w:bottom w:val="nil"/>
              <w:right w:val="nil"/>
            </w:tcBorders>
          </w:tcPr>
          <w:p w14:paraId="30399ECC"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Oversight government dummies</w:t>
            </w:r>
          </w:p>
        </w:tc>
        <w:tc>
          <w:tcPr>
            <w:tcW w:w="1667" w:type="pct"/>
            <w:tcBorders>
              <w:top w:val="nil"/>
              <w:left w:val="nil"/>
              <w:bottom w:val="nil"/>
              <w:right w:val="nil"/>
            </w:tcBorders>
          </w:tcPr>
          <w:p w14:paraId="2D8DD552"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YES</w:t>
            </w:r>
          </w:p>
        </w:tc>
        <w:tc>
          <w:tcPr>
            <w:tcW w:w="1666" w:type="pct"/>
            <w:tcBorders>
              <w:top w:val="nil"/>
              <w:left w:val="nil"/>
              <w:bottom w:val="nil"/>
              <w:right w:val="nil"/>
            </w:tcBorders>
          </w:tcPr>
          <w:p w14:paraId="353D8321"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YES</w:t>
            </w:r>
          </w:p>
        </w:tc>
      </w:tr>
      <w:tr w:rsidR="00D9136D" w:rsidRPr="00EE7169" w14:paraId="3326BFED" w14:textId="77777777" w:rsidTr="00665894">
        <w:trPr>
          <w:jc w:val="center"/>
        </w:trPr>
        <w:tc>
          <w:tcPr>
            <w:tcW w:w="1667" w:type="pct"/>
            <w:tcBorders>
              <w:left w:val="nil"/>
              <w:bottom w:val="nil"/>
              <w:right w:val="nil"/>
            </w:tcBorders>
          </w:tcPr>
          <w:p w14:paraId="09AB4679"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Year dummies</w:t>
            </w:r>
          </w:p>
        </w:tc>
        <w:tc>
          <w:tcPr>
            <w:tcW w:w="1667" w:type="pct"/>
            <w:tcBorders>
              <w:top w:val="nil"/>
              <w:left w:val="nil"/>
              <w:bottom w:val="nil"/>
              <w:right w:val="nil"/>
            </w:tcBorders>
          </w:tcPr>
          <w:p w14:paraId="0ABB56B1"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YES</w:t>
            </w:r>
          </w:p>
        </w:tc>
        <w:tc>
          <w:tcPr>
            <w:tcW w:w="1666" w:type="pct"/>
            <w:tcBorders>
              <w:top w:val="nil"/>
              <w:left w:val="nil"/>
              <w:bottom w:val="nil"/>
              <w:right w:val="nil"/>
            </w:tcBorders>
          </w:tcPr>
          <w:p w14:paraId="4FF989C2" w14:textId="77777777"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YES</w:t>
            </w:r>
          </w:p>
        </w:tc>
      </w:tr>
      <w:tr w:rsidR="00D9136D" w:rsidRPr="00EE7169" w14:paraId="6B66B5DA" w14:textId="77777777" w:rsidTr="00665894">
        <w:tblPrEx>
          <w:tblBorders>
            <w:bottom w:val="single" w:sz="6" w:space="0" w:color="auto"/>
          </w:tblBorders>
        </w:tblPrEx>
        <w:trPr>
          <w:jc w:val="center"/>
        </w:trPr>
        <w:tc>
          <w:tcPr>
            <w:tcW w:w="1667" w:type="pct"/>
            <w:tcBorders>
              <w:top w:val="nil"/>
              <w:left w:val="nil"/>
              <w:bottom w:val="single" w:sz="6" w:space="0" w:color="auto"/>
              <w:right w:val="nil"/>
            </w:tcBorders>
          </w:tcPr>
          <w:p w14:paraId="709DC8E0" w14:textId="77777777" w:rsidR="00D9136D" w:rsidRPr="00EE7169" w:rsidRDefault="00D9136D" w:rsidP="00665894">
            <w:pPr>
              <w:autoSpaceDE w:val="0"/>
              <w:autoSpaceDN w:val="0"/>
              <w:adjustRightInd w:val="0"/>
              <w:jc w:val="left"/>
              <w:rPr>
                <w:rFonts w:ascii="Garamond" w:hAnsi="Garamond"/>
                <w:kern w:val="0"/>
                <w:sz w:val="22"/>
              </w:rPr>
            </w:pPr>
            <w:r w:rsidRPr="00EE7169">
              <w:rPr>
                <w:rFonts w:ascii="Garamond" w:hAnsi="Garamond"/>
                <w:kern w:val="0"/>
                <w:sz w:val="22"/>
              </w:rPr>
              <w:t>Observations</w:t>
            </w:r>
          </w:p>
        </w:tc>
        <w:tc>
          <w:tcPr>
            <w:tcW w:w="1667" w:type="pct"/>
            <w:tcBorders>
              <w:top w:val="nil"/>
              <w:left w:val="nil"/>
              <w:bottom w:val="single" w:sz="6" w:space="0" w:color="auto"/>
              <w:right w:val="nil"/>
            </w:tcBorders>
          </w:tcPr>
          <w:p w14:paraId="70303B26" w14:textId="4F0C599B"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55</w:t>
            </w:r>
            <w:r w:rsidR="0093310A">
              <w:rPr>
                <w:rFonts w:ascii="Garamond" w:hAnsi="Garamond"/>
                <w:kern w:val="0"/>
                <w:sz w:val="22"/>
              </w:rPr>
              <w:t>,</w:t>
            </w:r>
            <w:r w:rsidRPr="00EE7169">
              <w:rPr>
                <w:rFonts w:ascii="Garamond" w:hAnsi="Garamond"/>
                <w:kern w:val="0"/>
                <w:sz w:val="22"/>
              </w:rPr>
              <w:t>674</w:t>
            </w:r>
          </w:p>
        </w:tc>
        <w:tc>
          <w:tcPr>
            <w:tcW w:w="1666" w:type="pct"/>
            <w:tcBorders>
              <w:top w:val="nil"/>
              <w:left w:val="nil"/>
              <w:bottom w:val="single" w:sz="6" w:space="0" w:color="auto"/>
              <w:right w:val="nil"/>
            </w:tcBorders>
          </w:tcPr>
          <w:p w14:paraId="055A11BA" w14:textId="27D6743D" w:rsidR="00D9136D" w:rsidRPr="00EE7169" w:rsidRDefault="00D9136D" w:rsidP="00665894">
            <w:pPr>
              <w:autoSpaceDE w:val="0"/>
              <w:autoSpaceDN w:val="0"/>
              <w:adjustRightInd w:val="0"/>
              <w:jc w:val="center"/>
              <w:rPr>
                <w:rFonts w:ascii="Garamond" w:hAnsi="Garamond"/>
                <w:kern w:val="0"/>
                <w:sz w:val="22"/>
              </w:rPr>
            </w:pPr>
            <w:r w:rsidRPr="00EE7169">
              <w:rPr>
                <w:rFonts w:ascii="Garamond" w:hAnsi="Garamond"/>
                <w:kern w:val="0"/>
                <w:sz w:val="22"/>
              </w:rPr>
              <w:t>55</w:t>
            </w:r>
            <w:r w:rsidR="0093310A">
              <w:rPr>
                <w:rFonts w:ascii="Garamond" w:hAnsi="Garamond"/>
                <w:kern w:val="0"/>
                <w:sz w:val="22"/>
              </w:rPr>
              <w:t>,</w:t>
            </w:r>
            <w:r w:rsidRPr="00EE7169">
              <w:rPr>
                <w:rFonts w:ascii="Garamond" w:hAnsi="Garamond"/>
                <w:kern w:val="0"/>
                <w:sz w:val="22"/>
              </w:rPr>
              <w:t>674</w:t>
            </w:r>
          </w:p>
        </w:tc>
      </w:tr>
    </w:tbl>
    <w:p w14:paraId="5E5B6F9E" w14:textId="77777777" w:rsidR="00D9136D" w:rsidRPr="00EE7169" w:rsidRDefault="00D9136D" w:rsidP="00D9136D">
      <w:pPr>
        <w:rPr>
          <w:rFonts w:ascii="Garamond" w:eastAsia="STFangsong" w:hAnsi="Garamond"/>
          <w:szCs w:val="21"/>
        </w:rPr>
      </w:pPr>
      <w:r w:rsidRPr="00EE7169">
        <w:rPr>
          <w:rFonts w:ascii="Garamond" w:hAnsi="Garamond"/>
          <w:kern w:val="0"/>
          <w:szCs w:val="21"/>
        </w:rPr>
        <w:t xml:space="preserve">This table reports the regression results of the multinomial logit model . </w:t>
      </w:r>
      <w:r w:rsidRPr="00EE7169">
        <w:rPr>
          <w:rFonts w:ascii="Garamond" w:eastAsia="STFangsong" w:hAnsi="Garamond"/>
          <w:szCs w:val="21"/>
        </w:rPr>
        <w:t xml:space="preserve">Marginal effects evaluated at the mean and standard errors are listed. The baseline option is </w:t>
      </w:r>
      <w:r w:rsidRPr="00EE7169">
        <w:rPr>
          <w:rFonts w:ascii="Garamond" w:eastAsia="STFangsong" w:hAnsi="Garamond"/>
          <w:i/>
          <w:szCs w:val="21"/>
        </w:rPr>
        <w:t>neither privatized nor decentralized</w:t>
      </w:r>
      <w:r w:rsidRPr="00EE7169">
        <w:rPr>
          <w:rFonts w:ascii="Garamond" w:eastAsia="STFangsong" w:hAnsi="Garamond"/>
          <w:szCs w:val="21"/>
        </w:rPr>
        <w:t xml:space="preserve">, and the first column reports the probability of being </w:t>
      </w:r>
      <w:r w:rsidRPr="00EE7169">
        <w:rPr>
          <w:rFonts w:ascii="Garamond" w:eastAsia="STFangsong" w:hAnsi="Garamond"/>
          <w:i/>
          <w:szCs w:val="21"/>
        </w:rPr>
        <w:t>Decentralized</w:t>
      </w:r>
      <w:r w:rsidRPr="00EE7169">
        <w:rPr>
          <w:rFonts w:ascii="Garamond" w:eastAsia="STFangsong" w:hAnsi="Garamond"/>
          <w:szCs w:val="21"/>
        </w:rPr>
        <w:t xml:space="preserve"> which takes on the value of 1 if a firm is decentralized in year t, and 0 otherwise. The second column reports the probability of being </w:t>
      </w:r>
      <w:r w:rsidRPr="00EE7169">
        <w:rPr>
          <w:rFonts w:ascii="Garamond" w:eastAsia="STFangsong" w:hAnsi="Garamond"/>
          <w:i/>
          <w:szCs w:val="21"/>
        </w:rPr>
        <w:t>Privatized</w:t>
      </w:r>
      <w:r w:rsidRPr="00EE7169">
        <w:rPr>
          <w:rFonts w:ascii="Garamond" w:eastAsia="STFangsong" w:hAnsi="Garamond"/>
          <w:szCs w:val="21"/>
        </w:rPr>
        <w:t xml:space="preserve"> which takes on the value of 1 if a firm is privatized in year t, and 0 otherwise. </w:t>
      </w:r>
      <w:r w:rsidRPr="00EE7169">
        <w:rPr>
          <w:rFonts w:ascii="Garamond" w:hAnsi="Garamond"/>
          <w:color w:val="000000"/>
          <w:kern w:val="0"/>
          <w:szCs w:val="21"/>
        </w:rPr>
        <w:t>All t</w:t>
      </w:r>
      <w:r w:rsidRPr="00EE7169">
        <w:rPr>
          <w:rFonts w:ascii="Garamond" w:eastAsia="STFangsong" w:hAnsi="Garamond"/>
          <w:szCs w:val="21"/>
        </w:rPr>
        <w:t xml:space="preserve">hese firm-specific and province-specific variables are lagged by one year. Standard errors are clustered at the level of the same oversight government. *, ** and *** indicate statistical significance at 10%, 5% and 1% levels, respectively. </w:t>
      </w:r>
    </w:p>
    <w:p w14:paraId="74D5F150" w14:textId="77777777" w:rsidR="00D9136D" w:rsidRPr="00EE7169" w:rsidRDefault="00D9136D" w:rsidP="00D9136D">
      <w:pPr>
        <w:widowControl/>
        <w:rPr>
          <w:rFonts w:ascii="Garamond" w:hAnsi="Garamond"/>
          <w:b/>
          <w:kern w:val="0"/>
          <w:sz w:val="24"/>
          <w:szCs w:val="24"/>
        </w:rPr>
      </w:pPr>
    </w:p>
    <w:p w14:paraId="45F39CC8" w14:textId="03E461C8" w:rsidR="007C149F" w:rsidRPr="000E79A6" w:rsidRDefault="00CB501B" w:rsidP="000E79A6">
      <w:pPr>
        <w:autoSpaceDE w:val="0"/>
        <w:autoSpaceDN w:val="0"/>
        <w:adjustRightInd w:val="0"/>
        <w:rPr>
          <w:rFonts w:ascii="Times New Roman" w:hAnsi="Times New Roman"/>
          <w:kern w:val="0"/>
          <w:sz w:val="20"/>
          <w:szCs w:val="20"/>
        </w:rPr>
      </w:pPr>
      <w:r w:rsidRPr="00EE7169">
        <w:rPr>
          <w:rFonts w:ascii="Garamond" w:hAnsi="Garamond"/>
          <w:color w:val="FF0000"/>
          <w:kern w:val="0"/>
          <w:sz w:val="22"/>
          <w:szCs w:val="24"/>
        </w:rPr>
        <w:br w:type="page"/>
      </w:r>
    </w:p>
    <w:p w14:paraId="586136E6" w14:textId="01E9F6EF" w:rsidR="004664CE" w:rsidRPr="00EE7169" w:rsidRDefault="004664CE" w:rsidP="004664CE">
      <w:pPr>
        <w:autoSpaceDE w:val="0"/>
        <w:autoSpaceDN w:val="0"/>
        <w:adjustRightInd w:val="0"/>
        <w:jc w:val="center"/>
        <w:rPr>
          <w:rFonts w:ascii="Garamond" w:hAnsi="Garamond"/>
          <w:b/>
          <w:kern w:val="0"/>
          <w:szCs w:val="24"/>
        </w:rPr>
      </w:pPr>
      <w:r w:rsidRPr="00EE7169">
        <w:rPr>
          <w:rFonts w:ascii="Garamond" w:hAnsi="Garamond"/>
          <w:b/>
          <w:kern w:val="0"/>
          <w:szCs w:val="24"/>
        </w:rPr>
        <w:lastRenderedPageBreak/>
        <w:t xml:space="preserve">Table </w:t>
      </w:r>
      <w:r w:rsidR="00D9136D">
        <w:rPr>
          <w:rFonts w:ascii="Garamond" w:hAnsi="Garamond"/>
          <w:b/>
          <w:kern w:val="0"/>
          <w:szCs w:val="24"/>
        </w:rPr>
        <w:t>6</w:t>
      </w:r>
      <w:r w:rsidRPr="00EE7169">
        <w:rPr>
          <w:rFonts w:ascii="Garamond" w:hAnsi="Garamond"/>
          <w:b/>
          <w:kern w:val="0"/>
          <w:szCs w:val="24"/>
        </w:rPr>
        <w:t>. Determinants of Decentralization - Additional Controls</w:t>
      </w:r>
    </w:p>
    <w:tbl>
      <w:tblPr>
        <w:tblW w:w="4779" w:type="pct"/>
        <w:jc w:val="center"/>
        <w:tblCellMar>
          <w:left w:w="75" w:type="dxa"/>
          <w:right w:w="75" w:type="dxa"/>
        </w:tblCellMar>
        <w:tblLook w:val="0000" w:firstRow="0" w:lastRow="0" w:firstColumn="0" w:lastColumn="0" w:noHBand="0" w:noVBand="0"/>
      </w:tblPr>
      <w:tblGrid>
        <w:gridCol w:w="4591"/>
        <w:gridCol w:w="2465"/>
        <w:gridCol w:w="2579"/>
        <w:gridCol w:w="2752"/>
      </w:tblGrid>
      <w:tr w:rsidR="007C149F" w:rsidRPr="00EE7169" w14:paraId="341D5FC3" w14:textId="77777777" w:rsidTr="004E0D8E">
        <w:trPr>
          <w:jc w:val="center"/>
        </w:trPr>
        <w:tc>
          <w:tcPr>
            <w:tcW w:w="1853" w:type="pct"/>
            <w:tcBorders>
              <w:top w:val="single" w:sz="6" w:space="0" w:color="auto"/>
              <w:left w:val="nil"/>
              <w:bottom w:val="single" w:sz="6" w:space="0" w:color="auto"/>
              <w:right w:val="nil"/>
            </w:tcBorders>
          </w:tcPr>
          <w:p w14:paraId="71741F38" w14:textId="77777777" w:rsidR="007C149F" w:rsidRPr="00EE7169" w:rsidRDefault="007C149F" w:rsidP="007C149F">
            <w:pPr>
              <w:autoSpaceDE w:val="0"/>
              <w:autoSpaceDN w:val="0"/>
              <w:adjustRightInd w:val="0"/>
              <w:jc w:val="left"/>
              <w:rPr>
                <w:rFonts w:ascii="Garamond" w:hAnsi="Garamond"/>
                <w:kern w:val="0"/>
                <w:sz w:val="22"/>
              </w:rPr>
            </w:pPr>
          </w:p>
        </w:tc>
        <w:tc>
          <w:tcPr>
            <w:tcW w:w="995" w:type="pct"/>
            <w:tcBorders>
              <w:top w:val="single" w:sz="6" w:space="0" w:color="auto"/>
              <w:left w:val="nil"/>
              <w:bottom w:val="single" w:sz="6" w:space="0" w:color="auto"/>
              <w:right w:val="nil"/>
            </w:tcBorders>
          </w:tcPr>
          <w:p w14:paraId="68EE88CD" w14:textId="28F5FB7B" w:rsidR="001F3E27" w:rsidRPr="00EE7169" w:rsidRDefault="00A87F4A" w:rsidP="003506C9">
            <w:pPr>
              <w:autoSpaceDE w:val="0"/>
              <w:autoSpaceDN w:val="0"/>
              <w:adjustRightInd w:val="0"/>
              <w:jc w:val="center"/>
              <w:rPr>
                <w:rFonts w:ascii="Garamond" w:hAnsi="Garamond"/>
                <w:kern w:val="0"/>
                <w:sz w:val="22"/>
              </w:rPr>
            </w:pPr>
            <w:r w:rsidRPr="00EE7169">
              <w:rPr>
                <w:rFonts w:ascii="Garamond" w:hAnsi="Garamond"/>
                <w:kern w:val="0"/>
                <w:sz w:val="22"/>
              </w:rPr>
              <w:t>(1)</w:t>
            </w:r>
          </w:p>
          <w:p w14:paraId="0EDE8E26" w14:textId="220306FA" w:rsidR="007C149F" w:rsidRPr="00EE7169" w:rsidRDefault="007C149F" w:rsidP="003506C9">
            <w:pPr>
              <w:autoSpaceDE w:val="0"/>
              <w:autoSpaceDN w:val="0"/>
              <w:adjustRightInd w:val="0"/>
              <w:jc w:val="center"/>
              <w:rPr>
                <w:rFonts w:ascii="Garamond" w:hAnsi="Garamond"/>
                <w:kern w:val="0"/>
                <w:sz w:val="22"/>
              </w:rPr>
            </w:pPr>
            <w:r w:rsidRPr="00EE7169">
              <w:rPr>
                <w:rFonts w:ascii="Garamond" w:hAnsi="Garamond"/>
                <w:kern w:val="0"/>
                <w:sz w:val="22"/>
              </w:rPr>
              <w:t>Central SOE</w:t>
            </w:r>
          </w:p>
        </w:tc>
        <w:tc>
          <w:tcPr>
            <w:tcW w:w="1041" w:type="pct"/>
            <w:tcBorders>
              <w:top w:val="single" w:sz="6" w:space="0" w:color="auto"/>
              <w:left w:val="nil"/>
              <w:bottom w:val="single" w:sz="6" w:space="0" w:color="auto"/>
              <w:right w:val="nil"/>
            </w:tcBorders>
          </w:tcPr>
          <w:p w14:paraId="692F6AE0" w14:textId="77777777" w:rsidR="001F3E27" w:rsidRPr="00EE7169" w:rsidRDefault="00A87F4A" w:rsidP="003506C9">
            <w:pPr>
              <w:autoSpaceDE w:val="0"/>
              <w:autoSpaceDN w:val="0"/>
              <w:adjustRightInd w:val="0"/>
              <w:jc w:val="center"/>
              <w:rPr>
                <w:rFonts w:ascii="Garamond" w:hAnsi="Garamond"/>
                <w:kern w:val="0"/>
                <w:sz w:val="22"/>
              </w:rPr>
            </w:pPr>
            <w:r w:rsidRPr="00EE7169">
              <w:rPr>
                <w:rFonts w:ascii="Garamond" w:hAnsi="Garamond"/>
                <w:kern w:val="0"/>
                <w:sz w:val="22"/>
              </w:rPr>
              <w:t>(2)</w:t>
            </w:r>
          </w:p>
          <w:p w14:paraId="0B000EEA" w14:textId="5B240D35" w:rsidR="007C149F" w:rsidRPr="00EE7169" w:rsidRDefault="007C149F" w:rsidP="003506C9">
            <w:pPr>
              <w:autoSpaceDE w:val="0"/>
              <w:autoSpaceDN w:val="0"/>
              <w:adjustRightInd w:val="0"/>
              <w:jc w:val="center"/>
              <w:rPr>
                <w:rFonts w:ascii="Garamond" w:hAnsi="Garamond"/>
                <w:kern w:val="0"/>
                <w:sz w:val="22"/>
              </w:rPr>
            </w:pPr>
            <w:r w:rsidRPr="00EE7169">
              <w:rPr>
                <w:rFonts w:ascii="Garamond" w:hAnsi="Garamond"/>
                <w:kern w:val="0"/>
                <w:sz w:val="22"/>
              </w:rPr>
              <w:t>Province SOE</w:t>
            </w:r>
          </w:p>
        </w:tc>
        <w:tc>
          <w:tcPr>
            <w:tcW w:w="1111" w:type="pct"/>
            <w:tcBorders>
              <w:top w:val="single" w:sz="6" w:space="0" w:color="auto"/>
              <w:left w:val="nil"/>
              <w:bottom w:val="single" w:sz="6" w:space="0" w:color="auto"/>
              <w:right w:val="nil"/>
            </w:tcBorders>
          </w:tcPr>
          <w:p w14:paraId="111B916F" w14:textId="77777777" w:rsidR="001F3E27" w:rsidRPr="00EE7169" w:rsidRDefault="00A87F4A" w:rsidP="003506C9">
            <w:pPr>
              <w:autoSpaceDE w:val="0"/>
              <w:autoSpaceDN w:val="0"/>
              <w:adjustRightInd w:val="0"/>
              <w:jc w:val="center"/>
              <w:rPr>
                <w:rFonts w:ascii="Garamond" w:hAnsi="Garamond"/>
                <w:kern w:val="0"/>
                <w:sz w:val="22"/>
              </w:rPr>
            </w:pPr>
            <w:r w:rsidRPr="00EE7169">
              <w:rPr>
                <w:rFonts w:ascii="Garamond" w:hAnsi="Garamond"/>
                <w:kern w:val="0"/>
                <w:sz w:val="22"/>
              </w:rPr>
              <w:t>(3)</w:t>
            </w:r>
          </w:p>
          <w:p w14:paraId="1C48E8F2" w14:textId="7FBD7319" w:rsidR="007C149F" w:rsidRPr="00EE7169" w:rsidRDefault="00F451FE" w:rsidP="003506C9">
            <w:pPr>
              <w:autoSpaceDE w:val="0"/>
              <w:autoSpaceDN w:val="0"/>
              <w:adjustRightInd w:val="0"/>
              <w:jc w:val="center"/>
              <w:rPr>
                <w:rFonts w:ascii="Garamond" w:hAnsi="Garamond"/>
                <w:kern w:val="0"/>
                <w:sz w:val="22"/>
              </w:rPr>
            </w:pPr>
            <w:r w:rsidRPr="00EE7169">
              <w:rPr>
                <w:rFonts w:ascii="Garamond" w:hAnsi="Garamond"/>
                <w:kern w:val="0"/>
                <w:sz w:val="22"/>
              </w:rPr>
              <w:t xml:space="preserve">Municipal </w:t>
            </w:r>
            <w:r w:rsidR="007C149F" w:rsidRPr="00EE7169">
              <w:rPr>
                <w:rFonts w:ascii="Garamond" w:hAnsi="Garamond"/>
                <w:kern w:val="0"/>
                <w:sz w:val="22"/>
              </w:rPr>
              <w:t>SOE</w:t>
            </w:r>
          </w:p>
        </w:tc>
      </w:tr>
      <w:tr w:rsidR="00712CF7" w:rsidRPr="00EE7169" w14:paraId="3D85FC2A" w14:textId="77777777" w:rsidTr="004E0D8E">
        <w:trPr>
          <w:jc w:val="center"/>
        </w:trPr>
        <w:tc>
          <w:tcPr>
            <w:tcW w:w="1853" w:type="pct"/>
            <w:vMerge w:val="restart"/>
            <w:tcBorders>
              <w:top w:val="single" w:sz="6" w:space="0" w:color="auto"/>
              <w:left w:val="nil"/>
              <w:right w:val="nil"/>
            </w:tcBorders>
          </w:tcPr>
          <w:p w14:paraId="65EF7921" w14:textId="1E1B8A73" w:rsidR="00712CF7" w:rsidRPr="00EE7169" w:rsidRDefault="00712CF7" w:rsidP="007C149F">
            <w:pPr>
              <w:autoSpaceDE w:val="0"/>
              <w:autoSpaceDN w:val="0"/>
              <w:adjustRightInd w:val="0"/>
              <w:jc w:val="left"/>
              <w:rPr>
                <w:rFonts w:ascii="Garamond" w:hAnsi="Garamond"/>
                <w:kern w:val="0"/>
                <w:sz w:val="22"/>
              </w:rPr>
            </w:pPr>
            <w:r w:rsidRPr="00EE7169">
              <w:rPr>
                <w:rFonts w:ascii="Garamond" w:hAnsi="Garamond"/>
                <w:kern w:val="0"/>
                <w:sz w:val="22"/>
              </w:rPr>
              <w:t>Distance</w:t>
            </w:r>
            <w:r w:rsidR="00870AEB" w:rsidRPr="00EE7169">
              <w:rPr>
                <w:rFonts w:ascii="Garamond" w:hAnsi="Garamond"/>
                <w:kern w:val="0"/>
                <w:sz w:val="18"/>
                <w:szCs w:val="18"/>
                <w:vertAlign w:val="subscript"/>
              </w:rPr>
              <w:t xml:space="preserve"> (t-1)</w:t>
            </w:r>
          </w:p>
        </w:tc>
        <w:tc>
          <w:tcPr>
            <w:tcW w:w="995" w:type="pct"/>
            <w:tcBorders>
              <w:top w:val="single" w:sz="6" w:space="0" w:color="auto"/>
              <w:left w:val="nil"/>
              <w:bottom w:val="nil"/>
              <w:right w:val="nil"/>
            </w:tcBorders>
          </w:tcPr>
          <w:p w14:paraId="2F06D728"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0.0047***</w:t>
            </w:r>
          </w:p>
        </w:tc>
        <w:tc>
          <w:tcPr>
            <w:tcW w:w="1041" w:type="pct"/>
            <w:tcBorders>
              <w:top w:val="single" w:sz="6" w:space="0" w:color="auto"/>
              <w:left w:val="nil"/>
              <w:bottom w:val="nil"/>
              <w:right w:val="nil"/>
            </w:tcBorders>
          </w:tcPr>
          <w:p w14:paraId="3478F026"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0.0028*</w:t>
            </w:r>
          </w:p>
        </w:tc>
        <w:tc>
          <w:tcPr>
            <w:tcW w:w="1111" w:type="pct"/>
            <w:tcBorders>
              <w:top w:val="single" w:sz="6" w:space="0" w:color="auto"/>
              <w:left w:val="nil"/>
              <w:bottom w:val="nil"/>
              <w:right w:val="nil"/>
            </w:tcBorders>
          </w:tcPr>
          <w:p w14:paraId="1EA1BAB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0.0059***</w:t>
            </w:r>
          </w:p>
        </w:tc>
      </w:tr>
      <w:tr w:rsidR="00712CF7" w:rsidRPr="00EE7169" w14:paraId="45D46981" w14:textId="77777777" w:rsidTr="004E0D8E">
        <w:trPr>
          <w:jc w:val="center"/>
        </w:trPr>
        <w:tc>
          <w:tcPr>
            <w:tcW w:w="1853" w:type="pct"/>
            <w:vMerge/>
            <w:tcBorders>
              <w:left w:val="nil"/>
              <w:bottom w:val="nil"/>
              <w:right w:val="nil"/>
            </w:tcBorders>
          </w:tcPr>
          <w:p w14:paraId="5827BBBC"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075A0B65"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(0.0018)</w:t>
            </w:r>
          </w:p>
        </w:tc>
        <w:tc>
          <w:tcPr>
            <w:tcW w:w="1041" w:type="pct"/>
            <w:tcBorders>
              <w:top w:val="nil"/>
              <w:left w:val="nil"/>
              <w:bottom w:val="nil"/>
              <w:right w:val="nil"/>
            </w:tcBorders>
          </w:tcPr>
          <w:p w14:paraId="2473CAF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(0.0015)</w:t>
            </w:r>
          </w:p>
        </w:tc>
        <w:tc>
          <w:tcPr>
            <w:tcW w:w="1111" w:type="pct"/>
            <w:tcBorders>
              <w:top w:val="nil"/>
              <w:left w:val="nil"/>
              <w:bottom w:val="nil"/>
              <w:right w:val="nil"/>
            </w:tcBorders>
          </w:tcPr>
          <w:p w14:paraId="093EB5E3"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(0.0014)</w:t>
            </w:r>
          </w:p>
        </w:tc>
      </w:tr>
      <w:tr w:rsidR="00712CF7" w:rsidRPr="00EE7169" w14:paraId="301CDD9B" w14:textId="77777777" w:rsidTr="004E0D8E">
        <w:trPr>
          <w:jc w:val="center"/>
        </w:trPr>
        <w:tc>
          <w:tcPr>
            <w:tcW w:w="1853" w:type="pct"/>
            <w:vMerge w:val="restart"/>
            <w:tcBorders>
              <w:top w:val="nil"/>
              <w:left w:val="nil"/>
              <w:right w:val="nil"/>
            </w:tcBorders>
          </w:tcPr>
          <w:p w14:paraId="00E061DE" w14:textId="59418A9F" w:rsidR="00712CF7" w:rsidRPr="00EE7169" w:rsidRDefault="00712CF7" w:rsidP="001F3E27">
            <w:pPr>
              <w:autoSpaceDE w:val="0"/>
              <w:autoSpaceDN w:val="0"/>
              <w:adjustRightInd w:val="0"/>
              <w:jc w:val="left"/>
              <w:rPr>
                <w:rFonts w:ascii="Garamond" w:hAnsi="Garamond"/>
                <w:kern w:val="0"/>
                <w:sz w:val="22"/>
              </w:rPr>
            </w:pPr>
            <w:r w:rsidRPr="00EE7169">
              <w:rPr>
                <w:rFonts w:ascii="Garamond" w:hAnsi="Garamond"/>
                <w:kern w:val="0"/>
                <w:sz w:val="22"/>
              </w:rPr>
              <w:t>Firm asset</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3B17399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-0.0037***</w:t>
            </w:r>
          </w:p>
        </w:tc>
        <w:tc>
          <w:tcPr>
            <w:tcW w:w="1041" w:type="pct"/>
            <w:tcBorders>
              <w:top w:val="nil"/>
              <w:left w:val="nil"/>
              <w:bottom w:val="nil"/>
              <w:right w:val="nil"/>
            </w:tcBorders>
          </w:tcPr>
          <w:p w14:paraId="050A568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-0.0021**</w:t>
            </w:r>
          </w:p>
        </w:tc>
        <w:tc>
          <w:tcPr>
            <w:tcW w:w="1111" w:type="pct"/>
            <w:tcBorders>
              <w:top w:val="nil"/>
              <w:left w:val="nil"/>
              <w:bottom w:val="nil"/>
              <w:right w:val="nil"/>
            </w:tcBorders>
          </w:tcPr>
          <w:p w14:paraId="78A6BFE6"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-0.0025*</w:t>
            </w:r>
          </w:p>
        </w:tc>
      </w:tr>
      <w:tr w:rsidR="00712CF7" w:rsidRPr="00EE7169" w14:paraId="5063B86B" w14:textId="77777777" w:rsidTr="004E0D8E">
        <w:trPr>
          <w:jc w:val="center"/>
        </w:trPr>
        <w:tc>
          <w:tcPr>
            <w:tcW w:w="1853" w:type="pct"/>
            <w:vMerge/>
            <w:tcBorders>
              <w:left w:val="nil"/>
              <w:bottom w:val="nil"/>
              <w:right w:val="nil"/>
            </w:tcBorders>
          </w:tcPr>
          <w:p w14:paraId="5E6E514F"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493220E9"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(0.0009)</w:t>
            </w:r>
          </w:p>
        </w:tc>
        <w:tc>
          <w:tcPr>
            <w:tcW w:w="1041" w:type="pct"/>
            <w:tcBorders>
              <w:top w:val="nil"/>
              <w:left w:val="nil"/>
              <w:bottom w:val="nil"/>
              <w:right w:val="nil"/>
            </w:tcBorders>
          </w:tcPr>
          <w:p w14:paraId="232562F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(0.0011)</w:t>
            </w:r>
          </w:p>
        </w:tc>
        <w:tc>
          <w:tcPr>
            <w:tcW w:w="1111" w:type="pct"/>
            <w:tcBorders>
              <w:top w:val="nil"/>
              <w:left w:val="nil"/>
              <w:bottom w:val="nil"/>
              <w:right w:val="nil"/>
            </w:tcBorders>
          </w:tcPr>
          <w:p w14:paraId="6C533D4E"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(0.0013)</w:t>
            </w:r>
          </w:p>
        </w:tc>
      </w:tr>
      <w:tr w:rsidR="004664CE" w:rsidRPr="00EE7169" w14:paraId="096B04A3" w14:textId="77777777" w:rsidTr="004E0D8E">
        <w:trPr>
          <w:jc w:val="center"/>
        </w:trPr>
        <w:tc>
          <w:tcPr>
            <w:tcW w:w="1853" w:type="pct"/>
            <w:vMerge w:val="restart"/>
            <w:tcBorders>
              <w:top w:val="nil"/>
              <w:left w:val="nil"/>
              <w:right w:val="nil"/>
            </w:tcBorders>
          </w:tcPr>
          <w:p w14:paraId="1CA6CE0B" w14:textId="135237CD" w:rsidR="004664CE" w:rsidRPr="00EE7169" w:rsidRDefault="004664CE" w:rsidP="001F3E27">
            <w:pPr>
              <w:autoSpaceDE w:val="0"/>
              <w:autoSpaceDN w:val="0"/>
              <w:adjustRightInd w:val="0"/>
              <w:jc w:val="left"/>
              <w:rPr>
                <w:rFonts w:ascii="Garamond" w:hAnsi="Garamond"/>
                <w:kern w:val="0"/>
                <w:sz w:val="22"/>
              </w:rPr>
            </w:pPr>
            <w:r w:rsidRPr="00EE7169">
              <w:rPr>
                <w:rFonts w:ascii="Garamond" w:hAnsi="Garamond"/>
                <w:kern w:val="0"/>
                <w:sz w:val="22"/>
              </w:rPr>
              <w:t>ROS</w:t>
            </w:r>
            <w:r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463B486C" w14:textId="77777777" w:rsidR="004664CE" w:rsidRPr="00EE7169" w:rsidRDefault="004664CE" w:rsidP="003506C9">
            <w:pPr>
              <w:autoSpaceDE w:val="0"/>
              <w:autoSpaceDN w:val="0"/>
              <w:adjustRightInd w:val="0"/>
              <w:jc w:val="center"/>
              <w:rPr>
                <w:rFonts w:ascii="Garamond" w:hAnsi="Garamond"/>
                <w:kern w:val="0"/>
                <w:sz w:val="22"/>
              </w:rPr>
            </w:pPr>
            <w:r w:rsidRPr="00EE7169">
              <w:rPr>
                <w:rFonts w:ascii="Garamond" w:hAnsi="Garamond"/>
                <w:kern w:val="0"/>
                <w:sz w:val="22"/>
              </w:rPr>
              <w:t>-0.0022</w:t>
            </w:r>
          </w:p>
        </w:tc>
        <w:tc>
          <w:tcPr>
            <w:tcW w:w="1041" w:type="pct"/>
            <w:tcBorders>
              <w:top w:val="nil"/>
              <w:left w:val="nil"/>
              <w:bottom w:val="nil"/>
              <w:right w:val="nil"/>
            </w:tcBorders>
          </w:tcPr>
          <w:p w14:paraId="6B563B90" w14:textId="77777777" w:rsidR="004664CE" w:rsidRPr="00EE7169" w:rsidRDefault="004664CE" w:rsidP="003506C9">
            <w:pPr>
              <w:autoSpaceDE w:val="0"/>
              <w:autoSpaceDN w:val="0"/>
              <w:adjustRightInd w:val="0"/>
              <w:jc w:val="center"/>
              <w:rPr>
                <w:rFonts w:ascii="Garamond" w:hAnsi="Garamond"/>
                <w:kern w:val="0"/>
                <w:sz w:val="22"/>
              </w:rPr>
            </w:pPr>
            <w:r w:rsidRPr="00EE7169">
              <w:rPr>
                <w:rFonts w:ascii="Garamond" w:hAnsi="Garamond"/>
                <w:kern w:val="0"/>
                <w:sz w:val="22"/>
              </w:rPr>
              <w:t>-0.0031**</w:t>
            </w:r>
          </w:p>
        </w:tc>
        <w:tc>
          <w:tcPr>
            <w:tcW w:w="1111" w:type="pct"/>
            <w:tcBorders>
              <w:top w:val="nil"/>
              <w:left w:val="nil"/>
              <w:bottom w:val="nil"/>
              <w:right w:val="nil"/>
            </w:tcBorders>
          </w:tcPr>
          <w:p w14:paraId="6637E577" w14:textId="77777777" w:rsidR="004664CE" w:rsidRPr="00EE7169" w:rsidRDefault="004664CE" w:rsidP="003506C9">
            <w:pPr>
              <w:autoSpaceDE w:val="0"/>
              <w:autoSpaceDN w:val="0"/>
              <w:adjustRightInd w:val="0"/>
              <w:jc w:val="center"/>
              <w:rPr>
                <w:rFonts w:ascii="Garamond" w:hAnsi="Garamond"/>
                <w:kern w:val="0"/>
                <w:sz w:val="22"/>
              </w:rPr>
            </w:pPr>
            <w:r w:rsidRPr="00EE7169">
              <w:rPr>
                <w:rFonts w:ascii="Garamond" w:hAnsi="Garamond"/>
                <w:kern w:val="0"/>
                <w:sz w:val="22"/>
              </w:rPr>
              <w:t>-0.0026*</w:t>
            </w:r>
          </w:p>
        </w:tc>
      </w:tr>
      <w:tr w:rsidR="00712CF7" w:rsidRPr="00EE7169" w14:paraId="73062802" w14:textId="77777777" w:rsidTr="004E0D8E">
        <w:trPr>
          <w:jc w:val="center"/>
        </w:trPr>
        <w:tc>
          <w:tcPr>
            <w:tcW w:w="1853" w:type="pct"/>
            <w:vMerge/>
            <w:tcBorders>
              <w:left w:val="nil"/>
              <w:bottom w:val="nil"/>
              <w:right w:val="nil"/>
            </w:tcBorders>
          </w:tcPr>
          <w:p w14:paraId="699DA519"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5FD39FA6"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(0.0037)</w:t>
            </w:r>
          </w:p>
        </w:tc>
        <w:tc>
          <w:tcPr>
            <w:tcW w:w="1041" w:type="pct"/>
            <w:tcBorders>
              <w:top w:val="nil"/>
              <w:left w:val="nil"/>
              <w:bottom w:val="nil"/>
              <w:right w:val="nil"/>
            </w:tcBorders>
          </w:tcPr>
          <w:p w14:paraId="54A08EE7"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(0.0013)</w:t>
            </w:r>
          </w:p>
        </w:tc>
        <w:tc>
          <w:tcPr>
            <w:tcW w:w="1111" w:type="pct"/>
            <w:tcBorders>
              <w:top w:val="nil"/>
              <w:left w:val="nil"/>
              <w:bottom w:val="nil"/>
              <w:right w:val="nil"/>
            </w:tcBorders>
          </w:tcPr>
          <w:p w14:paraId="2E970777"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(0.0014)</w:t>
            </w:r>
          </w:p>
        </w:tc>
      </w:tr>
      <w:tr w:rsidR="00712CF7" w:rsidRPr="00EE7169" w14:paraId="5208436B" w14:textId="77777777" w:rsidTr="004E0D8E">
        <w:trPr>
          <w:jc w:val="center"/>
        </w:trPr>
        <w:tc>
          <w:tcPr>
            <w:tcW w:w="1853" w:type="pct"/>
            <w:vMerge w:val="restart"/>
            <w:tcBorders>
              <w:top w:val="nil"/>
              <w:left w:val="nil"/>
              <w:right w:val="nil"/>
            </w:tcBorders>
          </w:tcPr>
          <w:p w14:paraId="4E39D561" w14:textId="2F290641" w:rsidR="00712CF7" w:rsidRPr="00EE7169" w:rsidRDefault="00712CF7" w:rsidP="001F3E27">
            <w:pPr>
              <w:autoSpaceDE w:val="0"/>
              <w:autoSpaceDN w:val="0"/>
              <w:adjustRightInd w:val="0"/>
              <w:jc w:val="left"/>
              <w:rPr>
                <w:rFonts w:ascii="Garamond" w:hAnsi="Garamond"/>
                <w:kern w:val="0"/>
                <w:sz w:val="22"/>
              </w:rPr>
            </w:pPr>
            <w:r w:rsidRPr="00EE7169">
              <w:rPr>
                <w:rFonts w:ascii="Garamond" w:hAnsi="Garamond"/>
                <w:kern w:val="0"/>
                <w:sz w:val="22"/>
              </w:rPr>
              <w:t>Firm importance</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1BBBBF6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0.0332</w:t>
            </w:r>
          </w:p>
        </w:tc>
        <w:tc>
          <w:tcPr>
            <w:tcW w:w="1041" w:type="pct"/>
            <w:tcBorders>
              <w:top w:val="nil"/>
              <w:left w:val="nil"/>
              <w:bottom w:val="nil"/>
              <w:right w:val="nil"/>
            </w:tcBorders>
          </w:tcPr>
          <w:p w14:paraId="0CABCCF6"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-0.0035</w:t>
            </w:r>
          </w:p>
        </w:tc>
        <w:tc>
          <w:tcPr>
            <w:tcW w:w="1111" w:type="pct"/>
            <w:tcBorders>
              <w:top w:val="nil"/>
              <w:left w:val="nil"/>
              <w:bottom w:val="nil"/>
              <w:right w:val="nil"/>
            </w:tcBorders>
          </w:tcPr>
          <w:p w14:paraId="35E29F5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-0.0021</w:t>
            </w:r>
          </w:p>
        </w:tc>
      </w:tr>
      <w:tr w:rsidR="00712CF7" w:rsidRPr="00EE7169" w14:paraId="7D064DAF" w14:textId="77777777" w:rsidTr="004E0D8E">
        <w:trPr>
          <w:jc w:val="center"/>
        </w:trPr>
        <w:tc>
          <w:tcPr>
            <w:tcW w:w="1853" w:type="pct"/>
            <w:vMerge/>
            <w:tcBorders>
              <w:left w:val="nil"/>
              <w:bottom w:val="nil"/>
              <w:right w:val="nil"/>
            </w:tcBorders>
          </w:tcPr>
          <w:p w14:paraId="220F4626"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3F02F75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(0.0336)</w:t>
            </w:r>
          </w:p>
        </w:tc>
        <w:tc>
          <w:tcPr>
            <w:tcW w:w="1041" w:type="pct"/>
            <w:tcBorders>
              <w:top w:val="nil"/>
              <w:left w:val="nil"/>
              <w:bottom w:val="nil"/>
              <w:right w:val="nil"/>
            </w:tcBorders>
          </w:tcPr>
          <w:p w14:paraId="6FD6E49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(0.0042)</w:t>
            </w:r>
          </w:p>
        </w:tc>
        <w:tc>
          <w:tcPr>
            <w:tcW w:w="1111" w:type="pct"/>
            <w:tcBorders>
              <w:top w:val="nil"/>
              <w:left w:val="nil"/>
              <w:bottom w:val="nil"/>
              <w:right w:val="nil"/>
            </w:tcBorders>
          </w:tcPr>
          <w:p w14:paraId="220D8DD1"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(0.0033)</w:t>
            </w:r>
          </w:p>
        </w:tc>
      </w:tr>
      <w:tr w:rsidR="00712CF7" w:rsidRPr="00EE7169" w14:paraId="6955B991" w14:textId="77777777" w:rsidTr="004E0D8E">
        <w:trPr>
          <w:jc w:val="center"/>
        </w:trPr>
        <w:tc>
          <w:tcPr>
            <w:tcW w:w="1853" w:type="pct"/>
            <w:vMerge w:val="restart"/>
            <w:tcBorders>
              <w:top w:val="nil"/>
              <w:left w:val="nil"/>
              <w:right w:val="nil"/>
            </w:tcBorders>
          </w:tcPr>
          <w:p w14:paraId="75DF2CB4" w14:textId="16FF0936" w:rsidR="00712CF7" w:rsidRPr="00EE7169" w:rsidRDefault="00712CF7" w:rsidP="001F3E27">
            <w:pPr>
              <w:autoSpaceDE w:val="0"/>
              <w:autoSpaceDN w:val="0"/>
              <w:adjustRightInd w:val="0"/>
              <w:jc w:val="left"/>
              <w:rPr>
                <w:rFonts w:ascii="Garamond" w:hAnsi="Garamond"/>
                <w:kern w:val="0"/>
                <w:sz w:val="22"/>
              </w:rPr>
            </w:pPr>
            <w:r w:rsidRPr="00EE7169">
              <w:rPr>
                <w:rFonts w:ascii="Garamond" w:hAnsi="Garamond"/>
                <w:kern w:val="0"/>
                <w:sz w:val="22"/>
              </w:rPr>
              <w:t>Fully state-owned</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0DC2F898"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-0.0004</w:t>
            </w:r>
          </w:p>
        </w:tc>
        <w:tc>
          <w:tcPr>
            <w:tcW w:w="1041" w:type="pct"/>
            <w:tcBorders>
              <w:top w:val="nil"/>
              <w:left w:val="nil"/>
              <w:bottom w:val="nil"/>
              <w:right w:val="nil"/>
            </w:tcBorders>
          </w:tcPr>
          <w:p w14:paraId="0BC794CC"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-0.0159***</w:t>
            </w:r>
          </w:p>
        </w:tc>
        <w:tc>
          <w:tcPr>
            <w:tcW w:w="1111" w:type="pct"/>
            <w:tcBorders>
              <w:top w:val="nil"/>
              <w:left w:val="nil"/>
              <w:bottom w:val="nil"/>
              <w:right w:val="nil"/>
            </w:tcBorders>
          </w:tcPr>
          <w:p w14:paraId="02A404B8"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-0.0021</w:t>
            </w:r>
          </w:p>
        </w:tc>
      </w:tr>
      <w:tr w:rsidR="00712CF7" w:rsidRPr="00EE7169" w14:paraId="6CCF3C1A" w14:textId="77777777" w:rsidTr="004E0D8E">
        <w:trPr>
          <w:jc w:val="center"/>
        </w:trPr>
        <w:tc>
          <w:tcPr>
            <w:tcW w:w="1853" w:type="pct"/>
            <w:vMerge/>
            <w:tcBorders>
              <w:left w:val="nil"/>
              <w:bottom w:val="nil"/>
              <w:right w:val="nil"/>
            </w:tcBorders>
          </w:tcPr>
          <w:p w14:paraId="18BCEEC2"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2320555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(0.0051)</w:t>
            </w:r>
          </w:p>
        </w:tc>
        <w:tc>
          <w:tcPr>
            <w:tcW w:w="1041" w:type="pct"/>
            <w:tcBorders>
              <w:top w:val="nil"/>
              <w:left w:val="nil"/>
              <w:bottom w:val="nil"/>
              <w:right w:val="nil"/>
            </w:tcBorders>
          </w:tcPr>
          <w:p w14:paraId="2A774579"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(0.0050)</w:t>
            </w:r>
          </w:p>
        </w:tc>
        <w:tc>
          <w:tcPr>
            <w:tcW w:w="1111" w:type="pct"/>
            <w:tcBorders>
              <w:top w:val="nil"/>
              <w:left w:val="nil"/>
              <w:bottom w:val="nil"/>
              <w:right w:val="nil"/>
            </w:tcBorders>
          </w:tcPr>
          <w:p w14:paraId="3CB0FC63"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(0.0019)</w:t>
            </w:r>
          </w:p>
        </w:tc>
      </w:tr>
      <w:tr w:rsidR="00712CF7" w:rsidRPr="00EE7169" w14:paraId="655746BF" w14:textId="77777777" w:rsidTr="004E0D8E">
        <w:trPr>
          <w:jc w:val="center"/>
        </w:trPr>
        <w:tc>
          <w:tcPr>
            <w:tcW w:w="1853" w:type="pct"/>
            <w:vMerge w:val="restart"/>
            <w:tcBorders>
              <w:top w:val="nil"/>
              <w:left w:val="nil"/>
              <w:right w:val="nil"/>
            </w:tcBorders>
          </w:tcPr>
          <w:p w14:paraId="65419EFD" w14:textId="1A520FF9" w:rsidR="00712CF7" w:rsidRPr="00EE7169" w:rsidRDefault="00712CF7" w:rsidP="001F3E27">
            <w:pPr>
              <w:autoSpaceDE w:val="0"/>
              <w:autoSpaceDN w:val="0"/>
              <w:adjustRightInd w:val="0"/>
              <w:jc w:val="left"/>
              <w:rPr>
                <w:rFonts w:ascii="Garamond" w:hAnsi="Garamond"/>
                <w:kern w:val="0"/>
                <w:sz w:val="22"/>
              </w:rPr>
            </w:pPr>
            <w:r w:rsidRPr="00EE7169">
              <w:rPr>
                <w:rFonts w:ascii="Garamond" w:hAnsi="Garamond"/>
                <w:kern w:val="0"/>
                <w:sz w:val="22"/>
              </w:rPr>
              <w:t>State sector share</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217D3F55"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-0.0674**</w:t>
            </w:r>
          </w:p>
        </w:tc>
        <w:tc>
          <w:tcPr>
            <w:tcW w:w="1041" w:type="pct"/>
            <w:tcBorders>
              <w:top w:val="nil"/>
              <w:left w:val="nil"/>
              <w:bottom w:val="nil"/>
              <w:right w:val="nil"/>
            </w:tcBorders>
          </w:tcPr>
          <w:p w14:paraId="5CF3572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0.2213***</w:t>
            </w:r>
          </w:p>
        </w:tc>
        <w:tc>
          <w:tcPr>
            <w:tcW w:w="1111" w:type="pct"/>
            <w:tcBorders>
              <w:top w:val="nil"/>
              <w:left w:val="nil"/>
              <w:bottom w:val="nil"/>
              <w:right w:val="nil"/>
            </w:tcBorders>
          </w:tcPr>
          <w:p w14:paraId="7E64352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0.0450</w:t>
            </w:r>
          </w:p>
        </w:tc>
      </w:tr>
      <w:tr w:rsidR="00712CF7" w:rsidRPr="00EE7169" w14:paraId="453E8BF3" w14:textId="77777777" w:rsidTr="004E0D8E">
        <w:trPr>
          <w:jc w:val="center"/>
        </w:trPr>
        <w:tc>
          <w:tcPr>
            <w:tcW w:w="1853" w:type="pct"/>
            <w:vMerge/>
            <w:tcBorders>
              <w:left w:val="nil"/>
              <w:bottom w:val="nil"/>
              <w:right w:val="nil"/>
            </w:tcBorders>
          </w:tcPr>
          <w:p w14:paraId="6041EEB8"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5C6FE0C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(0.0305)</w:t>
            </w:r>
          </w:p>
        </w:tc>
        <w:tc>
          <w:tcPr>
            <w:tcW w:w="1041" w:type="pct"/>
            <w:tcBorders>
              <w:top w:val="nil"/>
              <w:left w:val="nil"/>
              <w:bottom w:val="nil"/>
              <w:right w:val="nil"/>
            </w:tcBorders>
          </w:tcPr>
          <w:p w14:paraId="4B10487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(0.0754)</w:t>
            </w:r>
          </w:p>
        </w:tc>
        <w:tc>
          <w:tcPr>
            <w:tcW w:w="1111" w:type="pct"/>
            <w:tcBorders>
              <w:top w:val="nil"/>
              <w:left w:val="nil"/>
              <w:bottom w:val="nil"/>
              <w:right w:val="nil"/>
            </w:tcBorders>
          </w:tcPr>
          <w:p w14:paraId="4AB9640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(0.0794)</w:t>
            </w:r>
          </w:p>
        </w:tc>
      </w:tr>
      <w:tr w:rsidR="00712CF7" w:rsidRPr="00EE7169" w14:paraId="16708B8A" w14:textId="77777777" w:rsidTr="004E0D8E">
        <w:trPr>
          <w:jc w:val="center"/>
        </w:trPr>
        <w:tc>
          <w:tcPr>
            <w:tcW w:w="1853" w:type="pct"/>
            <w:vMerge w:val="restart"/>
            <w:tcBorders>
              <w:top w:val="nil"/>
              <w:left w:val="nil"/>
              <w:right w:val="nil"/>
            </w:tcBorders>
          </w:tcPr>
          <w:p w14:paraId="0B8BC059" w14:textId="5DA40E93" w:rsidR="00712CF7" w:rsidRPr="00EE7169" w:rsidRDefault="00712CF7" w:rsidP="001F3E27">
            <w:pPr>
              <w:autoSpaceDE w:val="0"/>
              <w:autoSpaceDN w:val="0"/>
              <w:adjustRightInd w:val="0"/>
              <w:jc w:val="left"/>
              <w:rPr>
                <w:rFonts w:ascii="Garamond" w:hAnsi="Garamond"/>
                <w:kern w:val="0"/>
                <w:sz w:val="22"/>
              </w:rPr>
            </w:pPr>
            <w:r w:rsidRPr="00EE7169">
              <w:rPr>
                <w:rFonts w:ascii="Garamond" w:hAnsi="Garamond"/>
                <w:kern w:val="0"/>
                <w:sz w:val="22"/>
              </w:rPr>
              <w:t>Unemployment rate</w:t>
            </w:r>
            <w:r w:rsidR="00870AEB" w:rsidRPr="00EE7169">
              <w:rPr>
                <w:rFonts w:ascii="Garamond" w:hAnsi="Garamond"/>
                <w:kern w:val="0"/>
                <w:sz w:val="18"/>
                <w:szCs w:val="18"/>
                <w:vertAlign w:val="subscript"/>
              </w:rPr>
              <w:t xml:space="preserve"> (t-1)</w:t>
            </w:r>
          </w:p>
        </w:tc>
        <w:tc>
          <w:tcPr>
            <w:tcW w:w="995" w:type="pct"/>
            <w:tcBorders>
              <w:top w:val="nil"/>
              <w:left w:val="nil"/>
              <w:right w:val="nil"/>
            </w:tcBorders>
          </w:tcPr>
          <w:p w14:paraId="0B5ECC5C"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0.0024</w:t>
            </w:r>
          </w:p>
        </w:tc>
        <w:tc>
          <w:tcPr>
            <w:tcW w:w="1041" w:type="pct"/>
            <w:tcBorders>
              <w:top w:val="nil"/>
              <w:left w:val="nil"/>
              <w:right w:val="nil"/>
            </w:tcBorders>
          </w:tcPr>
          <w:p w14:paraId="4ED29779"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0.0031</w:t>
            </w:r>
          </w:p>
        </w:tc>
        <w:tc>
          <w:tcPr>
            <w:tcW w:w="1111" w:type="pct"/>
            <w:tcBorders>
              <w:top w:val="nil"/>
              <w:left w:val="nil"/>
              <w:right w:val="nil"/>
            </w:tcBorders>
          </w:tcPr>
          <w:p w14:paraId="0009E3B0"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-0.0012</w:t>
            </w:r>
          </w:p>
        </w:tc>
      </w:tr>
      <w:tr w:rsidR="00712CF7" w:rsidRPr="00EE7169" w14:paraId="5104C51B" w14:textId="77777777" w:rsidTr="004E0D8E">
        <w:trPr>
          <w:jc w:val="center"/>
        </w:trPr>
        <w:tc>
          <w:tcPr>
            <w:tcW w:w="1853" w:type="pct"/>
            <w:vMerge/>
            <w:tcBorders>
              <w:left w:val="nil"/>
              <w:right w:val="nil"/>
            </w:tcBorders>
          </w:tcPr>
          <w:p w14:paraId="76A5F43D"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shd w:val="clear" w:color="auto" w:fill="FFFFFF"/>
          </w:tcPr>
          <w:p w14:paraId="5797BE1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(0.0022)</w:t>
            </w:r>
          </w:p>
        </w:tc>
        <w:tc>
          <w:tcPr>
            <w:tcW w:w="1041" w:type="pct"/>
            <w:tcBorders>
              <w:top w:val="nil"/>
              <w:left w:val="nil"/>
              <w:bottom w:val="nil"/>
              <w:right w:val="nil"/>
            </w:tcBorders>
            <w:shd w:val="clear" w:color="auto" w:fill="FFFFFF"/>
          </w:tcPr>
          <w:p w14:paraId="7365533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(0.0043)</w:t>
            </w:r>
          </w:p>
        </w:tc>
        <w:tc>
          <w:tcPr>
            <w:tcW w:w="1111" w:type="pct"/>
            <w:tcBorders>
              <w:top w:val="nil"/>
              <w:left w:val="nil"/>
              <w:bottom w:val="nil"/>
              <w:right w:val="nil"/>
            </w:tcBorders>
            <w:shd w:val="clear" w:color="auto" w:fill="FFFFFF"/>
          </w:tcPr>
          <w:p w14:paraId="11359E40"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(0.0042)</w:t>
            </w:r>
          </w:p>
        </w:tc>
      </w:tr>
      <w:tr w:rsidR="00712CF7" w:rsidRPr="00EE7169" w14:paraId="158F3FD4" w14:textId="77777777" w:rsidTr="004E0D8E">
        <w:trPr>
          <w:jc w:val="center"/>
        </w:trPr>
        <w:tc>
          <w:tcPr>
            <w:tcW w:w="1853" w:type="pct"/>
            <w:vMerge w:val="restart"/>
            <w:tcBorders>
              <w:top w:val="nil"/>
              <w:left w:val="nil"/>
              <w:right w:val="nil"/>
            </w:tcBorders>
          </w:tcPr>
          <w:p w14:paraId="3F0A7E11" w14:textId="131AA75F" w:rsidR="00712CF7" w:rsidRPr="00EE7169" w:rsidRDefault="00091F91" w:rsidP="004664CE">
            <w:pPr>
              <w:autoSpaceDE w:val="0"/>
              <w:autoSpaceDN w:val="0"/>
              <w:adjustRightInd w:val="0"/>
              <w:ind w:left="396" w:hangingChars="180" w:hanging="396"/>
              <w:jc w:val="left"/>
              <w:rPr>
                <w:rFonts w:ascii="Garamond" w:hAnsi="Garamond"/>
                <w:kern w:val="0"/>
                <w:sz w:val="22"/>
              </w:rPr>
            </w:pPr>
            <w:r w:rsidRPr="00EE7169">
              <w:rPr>
                <w:rFonts w:ascii="Garamond" w:hAnsi="Garamond"/>
                <w:kern w:val="0"/>
                <w:sz w:val="22"/>
              </w:rPr>
              <w:t>Original oversight</w:t>
            </w:r>
            <w:r w:rsidR="00712CF7" w:rsidRPr="00EE7169">
              <w:rPr>
                <w:rFonts w:ascii="Garamond" w:hAnsi="Garamond"/>
                <w:kern w:val="0"/>
                <w:sz w:val="22"/>
              </w:rPr>
              <w:t xml:space="preserve"> </w:t>
            </w:r>
            <w:r w:rsidR="004664CE" w:rsidRPr="00EE7169">
              <w:rPr>
                <w:rFonts w:ascii="Garamond" w:hAnsi="Garamond"/>
                <w:kern w:val="0"/>
                <w:sz w:val="22"/>
              </w:rPr>
              <w:t>g</w:t>
            </w:r>
            <w:r w:rsidR="00712CF7" w:rsidRPr="00EE7169">
              <w:rPr>
                <w:rFonts w:ascii="Garamond" w:hAnsi="Garamond"/>
                <w:kern w:val="0"/>
                <w:sz w:val="22"/>
              </w:rPr>
              <w:t xml:space="preserve">overnment fiscal revenue </w:t>
            </w:r>
            <w:r w:rsidR="009D32AF">
              <w:rPr>
                <w:rFonts w:ascii="Garamond" w:hAnsi="Garamond"/>
                <w:kern w:val="0"/>
                <w:sz w:val="22"/>
              </w:rPr>
              <w:t>per capita</w:t>
            </w:r>
            <w:r w:rsidR="009D32AF" w:rsidRPr="00EE7169">
              <w:rPr>
                <w:rFonts w:ascii="Garamond" w:hAnsi="Garamond"/>
                <w:kern w:val="0"/>
                <w:sz w:val="18"/>
                <w:szCs w:val="18"/>
                <w:vertAlign w:val="subscript"/>
              </w:rPr>
              <w:t xml:space="preserve"> </w:t>
            </w:r>
            <w:r w:rsidR="00870AEB" w:rsidRPr="00EE7169">
              <w:rPr>
                <w:rFonts w:ascii="Garamond" w:hAnsi="Garamond"/>
                <w:kern w:val="0"/>
                <w:sz w:val="18"/>
                <w:szCs w:val="18"/>
                <w:vertAlign w:val="subscript"/>
              </w:rPr>
              <w:t>(t-1)</w:t>
            </w:r>
          </w:p>
        </w:tc>
        <w:tc>
          <w:tcPr>
            <w:tcW w:w="995" w:type="pct"/>
            <w:tcBorders>
              <w:top w:val="nil"/>
              <w:left w:val="nil"/>
              <w:bottom w:val="nil"/>
              <w:right w:val="nil"/>
            </w:tcBorders>
          </w:tcPr>
          <w:p w14:paraId="1093232D" w14:textId="77777777" w:rsidR="00712CF7" w:rsidRPr="00EE7169" w:rsidRDefault="00712CF7" w:rsidP="003506C9">
            <w:pPr>
              <w:autoSpaceDE w:val="0"/>
              <w:autoSpaceDN w:val="0"/>
              <w:adjustRightInd w:val="0"/>
              <w:jc w:val="center"/>
              <w:rPr>
                <w:rFonts w:ascii="Garamond" w:hAnsi="Garamond"/>
                <w:kern w:val="0"/>
                <w:sz w:val="22"/>
              </w:rPr>
            </w:pPr>
          </w:p>
        </w:tc>
        <w:tc>
          <w:tcPr>
            <w:tcW w:w="1041" w:type="pct"/>
            <w:tcBorders>
              <w:top w:val="nil"/>
              <w:left w:val="nil"/>
              <w:bottom w:val="nil"/>
              <w:right w:val="nil"/>
            </w:tcBorders>
          </w:tcPr>
          <w:p w14:paraId="77B9366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0.0289</w:t>
            </w:r>
          </w:p>
        </w:tc>
        <w:tc>
          <w:tcPr>
            <w:tcW w:w="1111" w:type="pct"/>
            <w:tcBorders>
              <w:top w:val="nil"/>
              <w:left w:val="nil"/>
              <w:bottom w:val="nil"/>
              <w:right w:val="nil"/>
            </w:tcBorders>
          </w:tcPr>
          <w:p w14:paraId="176840E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0.0020</w:t>
            </w:r>
          </w:p>
        </w:tc>
      </w:tr>
      <w:tr w:rsidR="00712CF7" w:rsidRPr="00EE7169" w14:paraId="5EB529B3" w14:textId="77777777" w:rsidTr="004E0D8E">
        <w:trPr>
          <w:jc w:val="center"/>
        </w:trPr>
        <w:tc>
          <w:tcPr>
            <w:tcW w:w="1853" w:type="pct"/>
            <w:vMerge/>
            <w:tcBorders>
              <w:left w:val="nil"/>
              <w:bottom w:val="nil"/>
              <w:right w:val="nil"/>
            </w:tcBorders>
          </w:tcPr>
          <w:p w14:paraId="3390744B" w14:textId="77777777" w:rsidR="00712CF7" w:rsidRPr="00EE7169" w:rsidRDefault="00712CF7" w:rsidP="00FC0453">
            <w:pPr>
              <w:autoSpaceDE w:val="0"/>
              <w:autoSpaceDN w:val="0"/>
              <w:adjustRightInd w:val="0"/>
              <w:ind w:left="396" w:hangingChars="180" w:hanging="396"/>
              <w:jc w:val="left"/>
              <w:rPr>
                <w:rFonts w:ascii="Garamond" w:hAnsi="Garamond"/>
                <w:kern w:val="0"/>
                <w:sz w:val="22"/>
              </w:rPr>
            </w:pPr>
          </w:p>
        </w:tc>
        <w:tc>
          <w:tcPr>
            <w:tcW w:w="995" w:type="pct"/>
            <w:tcBorders>
              <w:top w:val="nil"/>
              <w:left w:val="nil"/>
              <w:bottom w:val="nil"/>
              <w:right w:val="nil"/>
            </w:tcBorders>
          </w:tcPr>
          <w:p w14:paraId="47CA37A3" w14:textId="77777777" w:rsidR="00712CF7" w:rsidRPr="00EE7169" w:rsidRDefault="00712CF7" w:rsidP="003506C9">
            <w:pPr>
              <w:autoSpaceDE w:val="0"/>
              <w:autoSpaceDN w:val="0"/>
              <w:adjustRightInd w:val="0"/>
              <w:jc w:val="center"/>
              <w:rPr>
                <w:rFonts w:ascii="Garamond" w:hAnsi="Garamond"/>
                <w:kern w:val="0"/>
                <w:sz w:val="22"/>
              </w:rPr>
            </w:pPr>
          </w:p>
        </w:tc>
        <w:tc>
          <w:tcPr>
            <w:tcW w:w="1041" w:type="pct"/>
            <w:tcBorders>
              <w:top w:val="nil"/>
              <w:left w:val="nil"/>
              <w:bottom w:val="nil"/>
              <w:right w:val="nil"/>
            </w:tcBorders>
          </w:tcPr>
          <w:p w14:paraId="33C5529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(0.0401)</w:t>
            </w:r>
          </w:p>
        </w:tc>
        <w:tc>
          <w:tcPr>
            <w:tcW w:w="1111" w:type="pct"/>
            <w:tcBorders>
              <w:top w:val="nil"/>
              <w:left w:val="nil"/>
              <w:bottom w:val="nil"/>
              <w:right w:val="nil"/>
            </w:tcBorders>
          </w:tcPr>
          <w:p w14:paraId="33FF282E"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(0.0193)</w:t>
            </w:r>
          </w:p>
        </w:tc>
      </w:tr>
      <w:tr w:rsidR="00712CF7" w:rsidRPr="00EE7169" w14:paraId="0A093290" w14:textId="77777777" w:rsidTr="004E0D8E">
        <w:trPr>
          <w:jc w:val="center"/>
        </w:trPr>
        <w:tc>
          <w:tcPr>
            <w:tcW w:w="1853" w:type="pct"/>
            <w:vMerge w:val="restart"/>
            <w:tcBorders>
              <w:top w:val="nil"/>
              <w:left w:val="nil"/>
              <w:right w:val="nil"/>
            </w:tcBorders>
          </w:tcPr>
          <w:p w14:paraId="670DB2AF" w14:textId="6438B18C" w:rsidR="00712CF7" w:rsidRPr="00EE7169" w:rsidRDefault="00091F91" w:rsidP="009D32AF">
            <w:pPr>
              <w:autoSpaceDE w:val="0"/>
              <w:autoSpaceDN w:val="0"/>
              <w:adjustRightInd w:val="0"/>
              <w:ind w:left="396" w:hangingChars="180" w:hanging="396"/>
              <w:jc w:val="left"/>
              <w:rPr>
                <w:rFonts w:ascii="Garamond" w:hAnsi="Garamond"/>
                <w:kern w:val="0"/>
                <w:sz w:val="22"/>
              </w:rPr>
            </w:pPr>
            <w:r w:rsidRPr="00EE7169">
              <w:rPr>
                <w:rFonts w:ascii="Garamond" w:hAnsi="Garamond"/>
                <w:kern w:val="0"/>
                <w:sz w:val="22"/>
              </w:rPr>
              <w:t xml:space="preserve">Original oversight </w:t>
            </w:r>
            <w:r w:rsidR="004664CE" w:rsidRPr="00EE7169">
              <w:rPr>
                <w:rFonts w:ascii="Garamond" w:hAnsi="Garamond"/>
                <w:kern w:val="0"/>
                <w:sz w:val="22"/>
              </w:rPr>
              <w:t>g</w:t>
            </w:r>
            <w:r w:rsidR="009D32AF">
              <w:rPr>
                <w:rFonts w:ascii="Garamond" w:hAnsi="Garamond"/>
                <w:kern w:val="0"/>
                <w:sz w:val="22"/>
              </w:rPr>
              <w:t>overnment GDP per capita</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138CCAAE" w14:textId="77777777" w:rsidR="00712CF7" w:rsidRPr="00EE7169" w:rsidRDefault="00712CF7" w:rsidP="003506C9">
            <w:pPr>
              <w:autoSpaceDE w:val="0"/>
              <w:autoSpaceDN w:val="0"/>
              <w:adjustRightInd w:val="0"/>
              <w:jc w:val="center"/>
              <w:rPr>
                <w:rFonts w:ascii="Garamond" w:hAnsi="Garamond"/>
                <w:kern w:val="0"/>
                <w:sz w:val="22"/>
              </w:rPr>
            </w:pPr>
          </w:p>
        </w:tc>
        <w:tc>
          <w:tcPr>
            <w:tcW w:w="1041" w:type="pct"/>
            <w:tcBorders>
              <w:top w:val="nil"/>
              <w:left w:val="nil"/>
              <w:bottom w:val="nil"/>
              <w:right w:val="nil"/>
            </w:tcBorders>
          </w:tcPr>
          <w:p w14:paraId="1B48264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-0.0997*</w:t>
            </w:r>
          </w:p>
        </w:tc>
        <w:tc>
          <w:tcPr>
            <w:tcW w:w="1111" w:type="pct"/>
            <w:tcBorders>
              <w:top w:val="nil"/>
              <w:left w:val="nil"/>
              <w:bottom w:val="nil"/>
              <w:right w:val="nil"/>
            </w:tcBorders>
          </w:tcPr>
          <w:p w14:paraId="39F1BDC0"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-0.0221**</w:t>
            </w:r>
          </w:p>
        </w:tc>
      </w:tr>
      <w:tr w:rsidR="00712CF7" w:rsidRPr="00EE7169" w14:paraId="0174364F" w14:textId="77777777" w:rsidTr="004E0D8E">
        <w:trPr>
          <w:jc w:val="center"/>
        </w:trPr>
        <w:tc>
          <w:tcPr>
            <w:tcW w:w="1853" w:type="pct"/>
            <w:vMerge/>
            <w:tcBorders>
              <w:left w:val="nil"/>
              <w:bottom w:val="nil"/>
              <w:right w:val="nil"/>
            </w:tcBorders>
          </w:tcPr>
          <w:p w14:paraId="1DE5808D" w14:textId="77777777" w:rsidR="00712CF7" w:rsidRPr="00EE7169" w:rsidRDefault="00712CF7" w:rsidP="00FC0453">
            <w:pPr>
              <w:autoSpaceDE w:val="0"/>
              <w:autoSpaceDN w:val="0"/>
              <w:adjustRightInd w:val="0"/>
              <w:ind w:left="396" w:hangingChars="180" w:hanging="396"/>
              <w:jc w:val="left"/>
              <w:rPr>
                <w:rFonts w:ascii="Garamond" w:hAnsi="Garamond"/>
                <w:kern w:val="0"/>
                <w:sz w:val="22"/>
              </w:rPr>
            </w:pPr>
          </w:p>
        </w:tc>
        <w:tc>
          <w:tcPr>
            <w:tcW w:w="995" w:type="pct"/>
            <w:tcBorders>
              <w:top w:val="nil"/>
              <w:left w:val="nil"/>
              <w:bottom w:val="nil"/>
              <w:right w:val="nil"/>
            </w:tcBorders>
          </w:tcPr>
          <w:p w14:paraId="08816A95" w14:textId="77777777" w:rsidR="00712CF7" w:rsidRPr="00EE7169" w:rsidRDefault="00712CF7" w:rsidP="003506C9">
            <w:pPr>
              <w:autoSpaceDE w:val="0"/>
              <w:autoSpaceDN w:val="0"/>
              <w:adjustRightInd w:val="0"/>
              <w:jc w:val="center"/>
              <w:rPr>
                <w:rFonts w:ascii="Garamond" w:hAnsi="Garamond"/>
                <w:kern w:val="0"/>
                <w:sz w:val="22"/>
              </w:rPr>
            </w:pPr>
          </w:p>
        </w:tc>
        <w:tc>
          <w:tcPr>
            <w:tcW w:w="1041" w:type="pct"/>
            <w:tcBorders>
              <w:top w:val="nil"/>
              <w:left w:val="nil"/>
              <w:bottom w:val="nil"/>
              <w:right w:val="nil"/>
            </w:tcBorders>
          </w:tcPr>
          <w:p w14:paraId="67E282E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(0.0546)</w:t>
            </w:r>
          </w:p>
        </w:tc>
        <w:tc>
          <w:tcPr>
            <w:tcW w:w="1111" w:type="pct"/>
            <w:tcBorders>
              <w:top w:val="nil"/>
              <w:left w:val="nil"/>
              <w:bottom w:val="nil"/>
              <w:right w:val="nil"/>
            </w:tcBorders>
          </w:tcPr>
          <w:p w14:paraId="77C5FC7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(0.0095)</w:t>
            </w:r>
          </w:p>
        </w:tc>
      </w:tr>
      <w:tr w:rsidR="00712CF7" w:rsidRPr="00EE7169" w14:paraId="381E773D" w14:textId="77777777" w:rsidTr="004E0D8E">
        <w:trPr>
          <w:jc w:val="center"/>
        </w:trPr>
        <w:tc>
          <w:tcPr>
            <w:tcW w:w="1853" w:type="pct"/>
            <w:vMerge w:val="restart"/>
            <w:tcBorders>
              <w:top w:val="nil"/>
              <w:left w:val="nil"/>
              <w:right w:val="nil"/>
            </w:tcBorders>
          </w:tcPr>
          <w:p w14:paraId="62542194" w14:textId="7323665F" w:rsidR="00712CF7" w:rsidRPr="00EE7169" w:rsidRDefault="00091F91" w:rsidP="004664CE">
            <w:pPr>
              <w:autoSpaceDE w:val="0"/>
              <w:autoSpaceDN w:val="0"/>
              <w:adjustRightInd w:val="0"/>
              <w:ind w:left="396" w:hangingChars="180" w:hanging="396"/>
              <w:jc w:val="left"/>
              <w:rPr>
                <w:rFonts w:ascii="Garamond" w:hAnsi="Garamond"/>
                <w:kern w:val="0"/>
                <w:sz w:val="22"/>
              </w:rPr>
            </w:pPr>
            <w:r w:rsidRPr="00EE7169">
              <w:rPr>
                <w:rFonts w:ascii="Garamond" w:hAnsi="Garamond"/>
                <w:kern w:val="0"/>
                <w:sz w:val="22"/>
              </w:rPr>
              <w:t xml:space="preserve">Original oversight </w:t>
            </w:r>
            <w:r w:rsidR="004664CE" w:rsidRPr="00EE7169">
              <w:rPr>
                <w:rFonts w:ascii="Garamond" w:hAnsi="Garamond"/>
                <w:kern w:val="0"/>
                <w:sz w:val="22"/>
              </w:rPr>
              <w:t>g</w:t>
            </w:r>
            <w:r w:rsidR="00712CF7" w:rsidRPr="00EE7169">
              <w:rPr>
                <w:rFonts w:ascii="Garamond" w:hAnsi="Garamond"/>
                <w:kern w:val="0"/>
                <w:sz w:val="22"/>
              </w:rPr>
              <w:t>overnment fiscal autonomy</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50992367" w14:textId="77777777" w:rsidR="00712CF7" w:rsidRPr="00EE7169" w:rsidRDefault="00712CF7" w:rsidP="003506C9">
            <w:pPr>
              <w:autoSpaceDE w:val="0"/>
              <w:autoSpaceDN w:val="0"/>
              <w:adjustRightInd w:val="0"/>
              <w:jc w:val="center"/>
              <w:rPr>
                <w:rFonts w:ascii="Garamond" w:hAnsi="Garamond"/>
                <w:kern w:val="0"/>
                <w:sz w:val="22"/>
              </w:rPr>
            </w:pPr>
          </w:p>
        </w:tc>
        <w:tc>
          <w:tcPr>
            <w:tcW w:w="1041" w:type="pct"/>
            <w:tcBorders>
              <w:top w:val="nil"/>
              <w:left w:val="nil"/>
              <w:bottom w:val="nil"/>
              <w:right w:val="nil"/>
            </w:tcBorders>
          </w:tcPr>
          <w:p w14:paraId="1DEFF64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0.0484</w:t>
            </w:r>
          </w:p>
        </w:tc>
        <w:tc>
          <w:tcPr>
            <w:tcW w:w="1111" w:type="pct"/>
            <w:tcBorders>
              <w:top w:val="nil"/>
              <w:left w:val="nil"/>
              <w:bottom w:val="nil"/>
              <w:right w:val="nil"/>
            </w:tcBorders>
          </w:tcPr>
          <w:p w14:paraId="19C866DA"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0.0141</w:t>
            </w:r>
          </w:p>
        </w:tc>
      </w:tr>
      <w:tr w:rsidR="00712CF7" w:rsidRPr="00EE7169" w14:paraId="128FBA0D" w14:textId="77777777" w:rsidTr="004E0D8E">
        <w:trPr>
          <w:jc w:val="center"/>
        </w:trPr>
        <w:tc>
          <w:tcPr>
            <w:tcW w:w="1853" w:type="pct"/>
            <w:vMerge/>
            <w:tcBorders>
              <w:left w:val="nil"/>
              <w:bottom w:val="nil"/>
              <w:right w:val="nil"/>
            </w:tcBorders>
          </w:tcPr>
          <w:p w14:paraId="03D121ED" w14:textId="77777777" w:rsidR="00712CF7" w:rsidRPr="00EE7169" w:rsidRDefault="00712CF7" w:rsidP="00FC0453">
            <w:pPr>
              <w:autoSpaceDE w:val="0"/>
              <w:autoSpaceDN w:val="0"/>
              <w:adjustRightInd w:val="0"/>
              <w:ind w:left="396" w:hangingChars="180" w:hanging="396"/>
              <w:jc w:val="left"/>
              <w:rPr>
                <w:rFonts w:ascii="Garamond" w:hAnsi="Garamond"/>
                <w:kern w:val="0"/>
                <w:sz w:val="22"/>
              </w:rPr>
            </w:pPr>
          </w:p>
        </w:tc>
        <w:tc>
          <w:tcPr>
            <w:tcW w:w="995" w:type="pct"/>
            <w:tcBorders>
              <w:top w:val="nil"/>
              <w:left w:val="nil"/>
              <w:bottom w:val="nil"/>
              <w:right w:val="nil"/>
            </w:tcBorders>
          </w:tcPr>
          <w:p w14:paraId="090F2E82" w14:textId="77777777" w:rsidR="00712CF7" w:rsidRPr="00EE7169" w:rsidRDefault="00712CF7" w:rsidP="003506C9">
            <w:pPr>
              <w:autoSpaceDE w:val="0"/>
              <w:autoSpaceDN w:val="0"/>
              <w:adjustRightInd w:val="0"/>
              <w:jc w:val="center"/>
              <w:rPr>
                <w:rFonts w:ascii="Garamond" w:hAnsi="Garamond"/>
                <w:kern w:val="0"/>
                <w:sz w:val="22"/>
              </w:rPr>
            </w:pPr>
          </w:p>
        </w:tc>
        <w:tc>
          <w:tcPr>
            <w:tcW w:w="1041" w:type="pct"/>
            <w:tcBorders>
              <w:top w:val="nil"/>
              <w:left w:val="nil"/>
              <w:bottom w:val="nil"/>
              <w:right w:val="nil"/>
            </w:tcBorders>
          </w:tcPr>
          <w:p w14:paraId="2677E78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(0.0782)</w:t>
            </w:r>
          </w:p>
        </w:tc>
        <w:tc>
          <w:tcPr>
            <w:tcW w:w="1111" w:type="pct"/>
            <w:tcBorders>
              <w:top w:val="nil"/>
              <w:left w:val="nil"/>
              <w:bottom w:val="nil"/>
              <w:right w:val="nil"/>
            </w:tcBorders>
          </w:tcPr>
          <w:p w14:paraId="60FADA25"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(0.0419)</w:t>
            </w:r>
          </w:p>
        </w:tc>
      </w:tr>
      <w:tr w:rsidR="00712CF7" w:rsidRPr="00EE7169" w14:paraId="53AD2753" w14:textId="77777777" w:rsidTr="004E0D8E">
        <w:trPr>
          <w:jc w:val="center"/>
        </w:trPr>
        <w:tc>
          <w:tcPr>
            <w:tcW w:w="1853" w:type="pct"/>
            <w:vMerge w:val="restart"/>
            <w:tcBorders>
              <w:top w:val="nil"/>
              <w:left w:val="nil"/>
              <w:right w:val="nil"/>
            </w:tcBorders>
          </w:tcPr>
          <w:p w14:paraId="2EE13AD2" w14:textId="39577176" w:rsidR="00712CF7" w:rsidRPr="00EE7169" w:rsidRDefault="00712CF7" w:rsidP="004664CE">
            <w:pPr>
              <w:autoSpaceDE w:val="0"/>
              <w:autoSpaceDN w:val="0"/>
              <w:adjustRightInd w:val="0"/>
              <w:ind w:left="396" w:hangingChars="180" w:hanging="396"/>
              <w:jc w:val="left"/>
              <w:rPr>
                <w:rFonts w:ascii="Garamond" w:hAnsi="Garamond"/>
                <w:kern w:val="0"/>
                <w:sz w:val="22"/>
              </w:rPr>
            </w:pPr>
            <w:r w:rsidRPr="00EE7169">
              <w:rPr>
                <w:rFonts w:ascii="Garamond" w:hAnsi="Garamond"/>
                <w:kern w:val="0"/>
                <w:sz w:val="22"/>
              </w:rPr>
              <w:t xml:space="preserve">Lower-level </w:t>
            </w:r>
            <w:r w:rsidR="004664CE" w:rsidRPr="00EE7169">
              <w:rPr>
                <w:rFonts w:ascii="Garamond" w:hAnsi="Garamond"/>
                <w:kern w:val="0"/>
                <w:sz w:val="22"/>
              </w:rPr>
              <w:t>g</w:t>
            </w:r>
            <w:r w:rsidRPr="00EE7169">
              <w:rPr>
                <w:rFonts w:ascii="Garamond" w:hAnsi="Garamond"/>
                <w:kern w:val="0"/>
                <w:sz w:val="22"/>
              </w:rPr>
              <w:t xml:space="preserve">overnment fiscal revenue </w:t>
            </w:r>
            <w:r w:rsidR="009D32AF">
              <w:rPr>
                <w:rFonts w:ascii="Garamond" w:hAnsi="Garamond"/>
                <w:kern w:val="0"/>
                <w:sz w:val="22"/>
              </w:rPr>
              <w:t>per capita</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119A69A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-0.0091</w:t>
            </w:r>
          </w:p>
        </w:tc>
        <w:tc>
          <w:tcPr>
            <w:tcW w:w="1041" w:type="pct"/>
            <w:tcBorders>
              <w:top w:val="nil"/>
              <w:left w:val="nil"/>
              <w:bottom w:val="nil"/>
              <w:right w:val="nil"/>
            </w:tcBorders>
          </w:tcPr>
          <w:p w14:paraId="6BD4CE16"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-0.0002</w:t>
            </w:r>
          </w:p>
        </w:tc>
        <w:tc>
          <w:tcPr>
            <w:tcW w:w="1111" w:type="pct"/>
            <w:tcBorders>
              <w:top w:val="nil"/>
              <w:left w:val="nil"/>
              <w:bottom w:val="nil"/>
              <w:right w:val="nil"/>
            </w:tcBorders>
          </w:tcPr>
          <w:p w14:paraId="5DF323B1"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-0.0050</w:t>
            </w:r>
          </w:p>
        </w:tc>
      </w:tr>
      <w:tr w:rsidR="00712CF7" w:rsidRPr="00EE7169" w14:paraId="6659451F" w14:textId="77777777" w:rsidTr="004E0D8E">
        <w:trPr>
          <w:jc w:val="center"/>
        </w:trPr>
        <w:tc>
          <w:tcPr>
            <w:tcW w:w="1853" w:type="pct"/>
            <w:vMerge/>
            <w:tcBorders>
              <w:left w:val="nil"/>
              <w:bottom w:val="nil"/>
              <w:right w:val="nil"/>
            </w:tcBorders>
          </w:tcPr>
          <w:p w14:paraId="34CA75D1" w14:textId="77777777" w:rsidR="00712CF7" w:rsidRPr="00EE7169" w:rsidRDefault="00712CF7" w:rsidP="00FC0453">
            <w:pPr>
              <w:autoSpaceDE w:val="0"/>
              <w:autoSpaceDN w:val="0"/>
              <w:adjustRightInd w:val="0"/>
              <w:ind w:left="396" w:hangingChars="180" w:hanging="396"/>
              <w:jc w:val="left"/>
              <w:rPr>
                <w:rFonts w:ascii="Garamond" w:hAnsi="Garamond"/>
                <w:kern w:val="0"/>
                <w:sz w:val="22"/>
              </w:rPr>
            </w:pPr>
          </w:p>
        </w:tc>
        <w:tc>
          <w:tcPr>
            <w:tcW w:w="995" w:type="pct"/>
            <w:tcBorders>
              <w:top w:val="nil"/>
              <w:left w:val="nil"/>
              <w:bottom w:val="nil"/>
              <w:right w:val="nil"/>
            </w:tcBorders>
          </w:tcPr>
          <w:p w14:paraId="5616A486"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(0.0060)</w:t>
            </w:r>
          </w:p>
        </w:tc>
        <w:tc>
          <w:tcPr>
            <w:tcW w:w="1041" w:type="pct"/>
            <w:tcBorders>
              <w:top w:val="nil"/>
              <w:left w:val="nil"/>
              <w:bottom w:val="nil"/>
              <w:right w:val="nil"/>
            </w:tcBorders>
          </w:tcPr>
          <w:p w14:paraId="3DB27B1A"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(0.0064)</w:t>
            </w:r>
          </w:p>
        </w:tc>
        <w:tc>
          <w:tcPr>
            <w:tcW w:w="1111" w:type="pct"/>
            <w:tcBorders>
              <w:top w:val="nil"/>
              <w:left w:val="nil"/>
              <w:bottom w:val="nil"/>
              <w:right w:val="nil"/>
            </w:tcBorders>
          </w:tcPr>
          <w:p w14:paraId="032966CC"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(0.0053)</w:t>
            </w:r>
          </w:p>
        </w:tc>
      </w:tr>
      <w:tr w:rsidR="00712CF7" w:rsidRPr="00EE7169" w14:paraId="7CD03C2D" w14:textId="77777777" w:rsidTr="004E0D8E">
        <w:trPr>
          <w:jc w:val="center"/>
        </w:trPr>
        <w:tc>
          <w:tcPr>
            <w:tcW w:w="1853" w:type="pct"/>
            <w:vMerge w:val="restart"/>
            <w:tcBorders>
              <w:top w:val="nil"/>
              <w:left w:val="nil"/>
              <w:right w:val="nil"/>
            </w:tcBorders>
          </w:tcPr>
          <w:p w14:paraId="09BDAC21" w14:textId="61BA8FEC" w:rsidR="00712CF7" w:rsidRPr="00EE7169" w:rsidRDefault="00712CF7" w:rsidP="004664CE">
            <w:pPr>
              <w:autoSpaceDE w:val="0"/>
              <w:autoSpaceDN w:val="0"/>
              <w:adjustRightInd w:val="0"/>
              <w:ind w:left="396" w:hangingChars="180" w:hanging="396"/>
              <w:jc w:val="left"/>
              <w:rPr>
                <w:rFonts w:ascii="Garamond" w:hAnsi="Garamond"/>
                <w:kern w:val="0"/>
                <w:sz w:val="22"/>
              </w:rPr>
            </w:pPr>
            <w:r w:rsidRPr="00EE7169">
              <w:rPr>
                <w:rFonts w:ascii="Garamond" w:hAnsi="Garamond"/>
                <w:kern w:val="0"/>
                <w:sz w:val="22"/>
              </w:rPr>
              <w:t xml:space="preserve">Lower-level </w:t>
            </w:r>
            <w:r w:rsidR="004664CE" w:rsidRPr="00EE7169">
              <w:rPr>
                <w:rFonts w:ascii="Garamond" w:hAnsi="Garamond"/>
                <w:kern w:val="0"/>
                <w:sz w:val="22"/>
              </w:rPr>
              <w:t>g</w:t>
            </w:r>
            <w:r w:rsidRPr="00EE7169">
              <w:rPr>
                <w:rFonts w:ascii="Garamond" w:hAnsi="Garamond"/>
                <w:kern w:val="0"/>
                <w:sz w:val="22"/>
              </w:rPr>
              <w:t xml:space="preserve">overnment GDP </w:t>
            </w:r>
            <w:r w:rsidR="009D32AF">
              <w:rPr>
                <w:rFonts w:ascii="Garamond" w:hAnsi="Garamond"/>
                <w:kern w:val="0"/>
                <w:sz w:val="22"/>
              </w:rPr>
              <w:t>per capita</w:t>
            </w:r>
            <w:r w:rsidRPr="00EE7169">
              <w:rPr>
                <w:rFonts w:ascii="Garamond" w:hAnsi="Garamond"/>
                <w:kern w:val="0"/>
                <w:sz w:val="22"/>
              </w:rPr>
              <w:t xml:space="preserve">. </w:t>
            </w:r>
            <w:r w:rsidR="00870AEB" w:rsidRPr="00EE7169">
              <w:rPr>
                <w:rFonts w:ascii="Garamond" w:hAnsi="Garamond"/>
                <w:kern w:val="0"/>
                <w:sz w:val="18"/>
                <w:szCs w:val="18"/>
                <w:vertAlign w:val="subscript"/>
              </w:rPr>
              <w:t>(t-1)</w:t>
            </w:r>
          </w:p>
        </w:tc>
        <w:tc>
          <w:tcPr>
            <w:tcW w:w="995" w:type="pct"/>
            <w:tcBorders>
              <w:top w:val="nil"/>
              <w:left w:val="nil"/>
              <w:bottom w:val="nil"/>
              <w:right w:val="nil"/>
            </w:tcBorders>
          </w:tcPr>
          <w:p w14:paraId="4C812DC0"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0.0053</w:t>
            </w:r>
          </w:p>
        </w:tc>
        <w:tc>
          <w:tcPr>
            <w:tcW w:w="1041" w:type="pct"/>
            <w:tcBorders>
              <w:top w:val="nil"/>
              <w:left w:val="nil"/>
              <w:bottom w:val="nil"/>
              <w:right w:val="nil"/>
            </w:tcBorders>
          </w:tcPr>
          <w:p w14:paraId="12C50EB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-0.0019</w:t>
            </w:r>
          </w:p>
        </w:tc>
        <w:tc>
          <w:tcPr>
            <w:tcW w:w="1111" w:type="pct"/>
            <w:tcBorders>
              <w:top w:val="nil"/>
              <w:left w:val="nil"/>
              <w:bottom w:val="nil"/>
              <w:right w:val="nil"/>
            </w:tcBorders>
          </w:tcPr>
          <w:p w14:paraId="2CD18461"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0.0001</w:t>
            </w:r>
          </w:p>
        </w:tc>
      </w:tr>
      <w:tr w:rsidR="00712CF7" w:rsidRPr="00EE7169" w14:paraId="29ABBF50" w14:textId="77777777" w:rsidTr="004E0D8E">
        <w:trPr>
          <w:jc w:val="center"/>
        </w:trPr>
        <w:tc>
          <w:tcPr>
            <w:tcW w:w="1853" w:type="pct"/>
            <w:vMerge/>
            <w:tcBorders>
              <w:left w:val="nil"/>
              <w:bottom w:val="nil"/>
              <w:right w:val="nil"/>
            </w:tcBorders>
          </w:tcPr>
          <w:p w14:paraId="5BA17A5D" w14:textId="77777777" w:rsidR="00712CF7" w:rsidRPr="00EE7169" w:rsidRDefault="00712CF7" w:rsidP="00FC0453">
            <w:pPr>
              <w:autoSpaceDE w:val="0"/>
              <w:autoSpaceDN w:val="0"/>
              <w:adjustRightInd w:val="0"/>
              <w:ind w:left="396" w:hangingChars="180" w:hanging="396"/>
              <w:jc w:val="left"/>
              <w:rPr>
                <w:rFonts w:ascii="Garamond" w:hAnsi="Garamond"/>
                <w:kern w:val="0"/>
                <w:sz w:val="22"/>
              </w:rPr>
            </w:pPr>
          </w:p>
        </w:tc>
        <w:tc>
          <w:tcPr>
            <w:tcW w:w="995" w:type="pct"/>
            <w:tcBorders>
              <w:top w:val="nil"/>
              <w:left w:val="nil"/>
              <w:bottom w:val="nil"/>
              <w:right w:val="nil"/>
            </w:tcBorders>
          </w:tcPr>
          <w:p w14:paraId="5CE030E7"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(0.0103)</w:t>
            </w:r>
          </w:p>
        </w:tc>
        <w:tc>
          <w:tcPr>
            <w:tcW w:w="1041" w:type="pct"/>
            <w:tcBorders>
              <w:top w:val="nil"/>
              <w:left w:val="nil"/>
              <w:bottom w:val="nil"/>
              <w:right w:val="nil"/>
            </w:tcBorders>
          </w:tcPr>
          <w:p w14:paraId="1FC0F61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(0.0061)</w:t>
            </w:r>
          </w:p>
        </w:tc>
        <w:tc>
          <w:tcPr>
            <w:tcW w:w="1111" w:type="pct"/>
            <w:tcBorders>
              <w:top w:val="nil"/>
              <w:left w:val="nil"/>
              <w:bottom w:val="nil"/>
              <w:right w:val="nil"/>
            </w:tcBorders>
          </w:tcPr>
          <w:p w14:paraId="48ACD672"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(0.0024)</w:t>
            </w:r>
          </w:p>
        </w:tc>
      </w:tr>
      <w:tr w:rsidR="00712CF7" w:rsidRPr="00EE7169" w14:paraId="6FFA12A1" w14:textId="77777777" w:rsidTr="004E0D8E">
        <w:trPr>
          <w:jc w:val="center"/>
        </w:trPr>
        <w:tc>
          <w:tcPr>
            <w:tcW w:w="1853" w:type="pct"/>
            <w:vMerge w:val="restart"/>
            <w:tcBorders>
              <w:left w:val="nil"/>
              <w:right w:val="nil"/>
            </w:tcBorders>
          </w:tcPr>
          <w:p w14:paraId="3CD7291E" w14:textId="1D6C3698" w:rsidR="00712CF7" w:rsidRPr="00EE7169" w:rsidRDefault="00712CF7" w:rsidP="004664CE">
            <w:pPr>
              <w:autoSpaceDE w:val="0"/>
              <w:autoSpaceDN w:val="0"/>
              <w:adjustRightInd w:val="0"/>
              <w:ind w:left="396" w:hangingChars="180" w:hanging="396"/>
              <w:jc w:val="left"/>
              <w:rPr>
                <w:rFonts w:ascii="Garamond" w:hAnsi="Garamond"/>
                <w:kern w:val="0"/>
                <w:sz w:val="22"/>
              </w:rPr>
            </w:pPr>
            <w:r w:rsidRPr="00EE7169">
              <w:rPr>
                <w:rFonts w:ascii="Garamond" w:hAnsi="Garamond"/>
                <w:kern w:val="0"/>
                <w:sz w:val="22"/>
              </w:rPr>
              <w:t xml:space="preserve">Lower-level </w:t>
            </w:r>
            <w:r w:rsidR="004664CE" w:rsidRPr="00EE7169">
              <w:rPr>
                <w:rFonts w:ascii="Garamond" w:hAnsi="Garamond"/>
                <w:kern w:val="0"/>
                <w:sz w:val="22"/>
              </w:rPr>
              <w:t>g</w:t>
            </w:r>
            <w:r w:rsidRPr="00EE7169">
              <w:rPr>
                <w:rFonts w:ascii="Garamond" w:hAnsi="Garamond"/>
                <w:kern w:val="0"/>
                <w:sz w:val="22"/>
              </w:rPr>
              <w:t>overnment fiscal autonomy</w:t>
            </w:r>
            <w:r w:rsidR="00870AEB" w:rsidRPr="00EE7169">
              <w:rPr>
                <w:rFonts w:ascii="Garamond" w:hAnsi="Garamond"/>
                <w:kern w:val="0"/>
                <w:sz w:val="18"/>
                <w:szCs w:val="18"/>
                <w:vertAlign w:val="subscript"/>
              </w:rPr>
              <w:t xml:space="preserve"> (t-1)</w:t>
            </w:r>
          </w:p>
        </w:tc>
        <w:tc>
          <w:tcPr>
            <w:tcW w:w="995" w:type="pct"/>
            <w:tcBorders>
              <w:top w:val="nil"/>
              <w:left w:val="nil"/>
              <w:bottom w:val="nil"/>
              <w:right w:val="nil"/>
            </w:tcBorders>
          </w:tcPr>
          <w:p w14:paraId="25514190"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0.0102</w:t>
            </w:r>
          </w:p>
        </w:tc>
        <w:tc>
          <w:tcPr>
            <w:tcW w:w="1041" w:type="pct"/>
            <w:tcBorders>
              <w:top w:val="nil"/>
              <w:left w:val="nil"/>
              <w:bottom w:val="nil"/>
              <w:right w:val="nil"/>
            </w:tcBorders>
          </w:tcPr>
          <w:p w14:paraId="394CE6BD"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-0.0210</w:t>
            </w:r>
          </w:p>
        </w:tc>
        <w:tc>
          <w:tcPr>
            <w:tcW w:w="1111" w:type="pct"/>
            <w:tcBorders>
              <w:top w:val="nil"/>
              <w:left w:val="nil"/>
              <w:bottom w:val="nil"/>
              <w:right w:val="nil"/>
            </w:tcBorders>
          </w:tcPr>
          <w:p w14:paraId="563CA7B1"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-0.0062</w:t>
            </w:r>
          </w:p>
        </w:tc>
      </w:tr>
      <w:tr w:rsidR="00712CF7" w:rsidRPr="00EE7169" w14:paraId="2D0F3820" w14:textId="77777777" w:rsidTr="004E0D8E">
        <w:trPr>
          <w:jc w:val="center"/>
        </w:trPr>
        <w:tc>
          <w:tcPr>
            <w:tcW w:w="1853" w:type="pct"/>
            <w:vMerge/>
            <w:tcBorders>
              <w:left w:val="nil"/>
              <w:bottom w:val="nil"/>
              <w:right w:val="nil"/>
            </w:tcBorders>
          </w:tcPr>
          <w:p w14:paraId="67A9A8D1" w14:textId="77777777" w:rsidR="00712CF7" w:rsidRPr="00EE7169" w:rsidRDefault="00712CF7" w:rsidP="007C149F">
            <w:pPr>
              <w:autoSpaceDE w:val="0"/>
              <w:autoSpaceDN w:val="0"/>
              <w:adjustRightInd w:val="0"/>
              <w:jc w:val="left"/>
              <w:rPr>
                <w:rFonts w:ascii="Garamond" w:hAnsi="Garamond"/>
                <w:kern w:val="0"/>
                <w:sz w:val="22"/>
              </w:rPr>
            </w:pPr>
          </w:p>
        </w:tc>
        <w:tc>
          <w:tcPr>
            <w:tcW w:w="995" w:type="pct"/>
            <w:tcBorders>
              <w:top w:val="nil"/>
              <w:left w:val="nil"/>
              <w:bottom w:val="nil"/>
              <w:right w:val="nil"/>
            </w:tcBorders>
          </w:tcPr>
          <w:p w14:paraId="72BE3D5A"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(0.0267)</w:t>
            </w:r>
          </w:p>
        </w:tc>
        <w:tc>
          <w:tcPr>
            <w:tcW w:w="1041" w:type="pct"/>
            <w:tcBorders>
              <w:top w:val="nil"/>
              <w:left w:val="nil"/>
              <w:bottom w:val="nil"/>
              <w:right w:val="nil"/>
            </w:tcBorders>
          </w:tcPr>
          <w:p w14:paraId="0744A753"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(0.0185)</w:t>
            </w:r>
          </w:p>
        </w:tc>
        <w:tc>
          <w:tcPr>
            <w:tcW w:w="1111" w:type="pct"/>
            <w:tcBorders>
              <w:top w:val="nil"/>
              <w:left w:val="nil"/>
              <w:bottom w:val="nil"/>
              <w:right w:val="nil"/>
            </w:tcBorders>
          </w:tcPr>
          <w:p w14:paraId="6FD3D7E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(0.0089)</w:t>
            </w:r>
          </w:p>
        </w:tc>
      </w:tr>
      <w:tr w:rsidR="00712CF7" w:rsidRPr="00EE7169" w14:paraId="005BA7CF" w14:textId="77777777" w:rsidTr="004E0D8E">
        <w:trPr>
          <w:jc w:val="center"/>
        </w:trPr>
        <w:tc>
          <w:tcPr>
            <w:tcW w:w="1853" w:type="pct"/>
            <w:tcBorders>
              <w:left w:val="nil"/>
              <w:bottom w:val="nil"/>
              <w:right w:val="nil"/>
            </w:tcBorders>
          </w:tcPr>
          <w:p w14:paraId="3BE8F0E0" w14:textId="77777777" w:rsidR="00712CF7" w:rsidRPr="00EE7169" w:rsidRDefault="00712CF7" w:rsidP="007C149F">
            <w:pPr>
              <w:autoSpaceDE w:val="0"/>
              <w:autoSpaceDN w:val="0"/>
              <w:adjustRightInd w:val="0"/>
              <w:jc w:val="left"/>
              <w:rPr>
                <w:rFonts w:ascii="Garamond" w:hAnsi="Garamond"/>
                <w:kern w:val="0"/>
                <w:sz w:val="22"/>
              </w:rPr>
            </w:pPr>
            <w:r w:rsidRPr="00EE7169">
              <w:rPr>
                <w:rFonts w:ascii="Garamond" w:hAnsi="Garamond"/>
                <w:kern w:val="0"/>
                <w:sz w:val="22"/>
              </w:rPr>
              <w:t>Observations</w:t>
            </w:r>
          </w:p>
        </w:tc>
        <w:tc>
          <w:tcPr>
            <w:tcW w:w="995" w:type="pct"/>
            <w:tcBorders>
              <w:top w:val="nil"/>
              <w:left w:val="nil"/>
              <w:bottom w:val="nil"/>
              <w:right w:val="nil"/>
            </w:tcBorders>
          </w:tcPr>
          <w:p w14:paraId="726DA5A0"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8,724</w:t>
            </w:r>
          </w:p>
        </w:tc>
        <w:tc>
          <w:tcPr>
            <w:tcW w:w="1041" w:type="pct"/>
            <w:tcBorders>
              <w:top w:val="nil"/>
              <w:left w:val="nil"/>
              <w:bottom w:val="nil"/>
              <w:right w:val="nil"/>
            </w:tcBorders>
          </w:tcPr>
          <w:p w14:paraId="7377ECAC"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10,328</w:t>
            </w:r>
          </w:p>
        </w:tc>
        <w:tc>
          <w:tcPr>
            <w:tcW w:w="1111" w:type="pct"/>
            <w:tcBorders>
              <w:top w:val="nil"/>
              <w:left w:val="nil"/>
              <w:bottom w:val="nil"/>
              <w:right w:val="nil"/>
            </w:tcBorders>
          </w:tcPr>
          <w:p w14:paraId="5ABF84EF"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11,099</w:t>
            </w:r>
          </w:p>
        </w:tc>
      </w:tr>
      <w:tr w:rsidR="00712CF7" w:rsidRPr="00EE7169" w14:paraId="4EDBCDA1" w14:textId="77777777" w:rsidTr="004E0D8E">
        <w:trPr>
          <w:jc w:val="center"/>
        </w:trPr>
        <w:tc>
          <w:tcPr>
            <w:tcW w:w="1853" w:type="pct"/>
            <w:tcBorders>
              <w:left w:val="nil"/>
              <w:bottom w:val="nil"/>
              <w:right w:val="nil"/>
            </w:tcBorders>
          </w:tcPr>
          <w:p w14:paraId="0B31BFEA" w14:textId="76F2CBBB" w:rsidR="00712CF7" w:rsidRPr="00EE7169" w:rsidRDefault="00712CF7" w:rsidP="007C149F">
            <w:pPr>
              <w:autoSpaceDE w:val="0"/>
              <w:autoSpaceDN w:val="0"/>
              <w:adjustRightInd w:val="0"/>
              <w:jc w:val="left"/>
              <w:rPr>
                <w:rFonts w:ascii="Garamond" w:hAnsi="Garamond"/>
                <w:kern w:val="0"/>
                <w:sz w:val="22"/>
              </w:rPr>
            </w:pPr>
            <w:r w:rsidRPr="00EE7169">
              <w:rPr>
                <w:rFonts w:ascii="Garamond" w:hAnsi="Garamond"/>
                <w:kern w:val="0"/>
                <w:sz w:val="22"/>
              </w:rPr>
              <w:t>Oversight government dummies</w:t>
            </w:r>
          </w:p>
        </w:tc>
        <w:tc>
          <w:tcPr>
            <w:tcW w:w="995" w:type="pct"/>
            <w:tcBorders>
              <w:top w:val="nil"/>
              <w:left w:val="nil"/>
              <w:bottom w:val="nil"/>
              <w:right w:val="nil"/>
            </w:tcBorders>
          </w:tcPr>
          <w:p w14:paraId="0E9C37F9" w14:textId="5976A5D4"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YES</w:t>
            </w:r>
          </w:p>
        </w:tc>
        <w:tc>
          <w:tcPr>
            <w:tcW w:w="1041" w:type="pct"/>
            <w:tcBorders>
              <w:top w:val="nil"/>
              <w:left w:val="nil"/>
              <w:bottom w:val="nil"/>
              <w:right w:val="nil"/>
            </w:tcBorders>
          </w:tcPr>
          <w:p w14:paraId="1A1BF545" w14:textId="37C49E64"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YES</w:t>
            </w:r>
          </w:p>
        </w:tc>
        <w:tc>
          <w:tcPr>
            <w:tcW w:w="1111" w:type="pct"/>
            <w:tcBorders>
              <w:top w:val="nil"/>
              <w:left w:val="nil"/>
              <w:bottom w:val="nil"/>
              <w:right w:val="nil"/>
            </w:tcBorders>
          </w:tcPr>
          <w:p w14:paraId="3D9D192E" w14:textId="0CFD3D25"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YES</w:t>
            </w:r>
          </w:p>
        </w:tc>
      </w:tr>
      <w:tr w:rsidR="00712CF7" w:rsidRPr="00EE7169" w14:paraId="4A0B3EF7" w14:textId="77777777" w:rsidTr="004E0D8E">
        <w:trPr>
          <w:jc w:val="center"/>
        </w:trPr>
        <w:tc>
          <w:tcPr>
            <w:tcW w:w="1853" w:type="pct"/>
            <w:tcBorders>
              <w:left w:val="nil"/>
              <w:bottom w:val="nil"/>
              <w:right w:val="nil"/>
            </w:tcBorders>
          </w:tcPr>
          <w:p w14:paraId="0D81B4EF" w14:textId="16D73224" w:rsidR="00712CF7" w:rsidRPr="00EE7169" w:rsidRDefault="00712CF7" w:rsidP="007C149F">
            <w:pPr>
              <w:autoSpaceDE w:val="0"/>
              <w:autoSpaceDN w:val="0"/>
              <w:adjustRightInd w:val="0"/>
              <w:jc w:val="left"/>
              <w:rPr>
                <w:rFonts w:ascii="Garamond" w:hAnsi="Garamond"/>
                <w:kern w:val="0"/>
                <w:sz w:val="22"/>
              </w:rPr>
            </w:pPr>
            <w:r w:rsidRPr="00EE7169">
              <w:rPr>
                <w:rFonts w:ascii="Garamond" w:hAnsi="Garamond"/>
                <w:kern w:val="0"/>
                <w:sz w:val="22"/>
              </w:rPr>
              <w:t>Year dummies</w:t>
            </w:r>
          </w:p>
        </w:tc>
        <w:tc>
          <w:tcPr>
            <w:tcW w:w="995" w:type="pct"/>
            <w:tcBorders>
              <w:top w:val="nil"/>
              <w:left w:val="nil"/>
              <w:bottom w:val="nil"/>
              <w:right w:val="nil"/>
            </w:tcBorders>
          </w:tcPr>
          <w:p w14:paraId="4406F4D0" w14:textId="52BCEA3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YES</w:t>
            </w:r>
          </w:p>
        </w:tc>
        <w:tc>
          <w:tcPr>
            <w:tcW w:w="1041" w:type="pct"/>
            <w:tcBorders>
              <w:top w:val="nil"/>
              <w:left w:val="nil"/>
              <w:bottom w:val="nil"/>
              <w:right w:val="nil"/>
            </w:tcBorders>
          </w:tcPr>
          <w:p w14:paraId="59EAAE0C" w14:textId="34721314"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YES</w:t>
            </w:r>
          </w:p>
        </w:tc>
        <w:tc>
          <w:tcPr>
            <w:tcW w:w="1111" w:type="pct"/>
            <w:tcBorders>
              <w:top w:val="nil"/>
              <w:left w:val="nil"/>
              <w:bottom w:val="nil"/>
              <w:right w:val="nil"/>
            </w:tcBorders>
          </w:tcPr>
          <w:p w14:paraId="1B23DE13" w14:textId="1752AA9A"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YES</w:t>
            </w:r>
          </w:p>
        </w:tc>
      </w:tr>
      <w:tr w:rsidR="00712CF7" w:rsidRPr="00EE7169" w14:paraId="31CA14FC" w14:textId="77777777" w:rsidTr="004E0D8E">
        <w:tblPrEx>
          <w:tblBorders>
            <w:bottom w:val="single" w:sz="6" w:space="0" w:color="auto"/>
          </w:tblBorders>
        </w:tblPrEx>
        <w:trPr>
          <w:jc w:val="center"/>
        </w:trPr>
        <w:tc>
          <w:tcPr>
            <w:tcW w:w="1853" w:type="pct"/>
            <w:tcBorders>
              <w:top w:val="nil"/>
              <w:left w:val="nil"/>
              <w:bottom w:val="single" w:sz="6" w:space="0" w:color="auto"/>
              <w:right w:val="nil"/>
            </w:tcBorders>
          </w:tcPr>
          <w:p w14:paraId="574161A7" w14:textId="5EDEDC4C" w:rsidR="00712CF7" w:rsidRPr="00EE7169" w:rsidRDefault="00712CF7" w:rsidP="007C149F">
            <w:pPr>
              <w:autoSpaceDE w:val="0"/>
              <w:autoSpaceDN w:val="0"/>
              <w:adjustRightInd w:val="0"/>
              <w:jc w:val="left"/>
              <w:rPr>
                <w:rFonts w:ascii="Garamond" w:hAnsi="Garamond"/>
                <w:kern w:val="0"/>
                <w:sz w:val="22"/>
              </w:rPr>
            </w:pPr>
            <w:r w:rsidRPr="00EE7169">
              <w:rPr>
                <w:rFonts w:ascii="Garamond" w:hAnsi="Garamond"/>
                <w:kern w:val="0"/>
                <w:sz w:val="22"/>
              </w:rPr>
              <w:t>Pseudo R-squared</w:t>
            </w:r>
          </w:p>
        </w:tc>
        <w:tc>
          <w:tcPr>
            <w:tcW w:w="995" w:type="pct"/>
            <w:tcBorders>
              <w:top w:val="nil"/>
              <w:left w:val="nil"/>
              <w:bottom w:val="single" w:sz="6" w:space="0" w:color="auto"/>
              <w:right w:val="nil"/>
            </w:tcBorders>
          </w:tcPr>
          <w:p w14:paraId="024C1904"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0.0867</w:t>
            </w:r>
          </w:p>
        </w:tc>
        <w:tc>
          <w:tcPr>
            <w:tcW w:w="1041" w:type="pct"/>
            <w:tcBorders>
              <w:top w:val="nil"/>
              <w:left w:val="nil"/>
              <w:bottom w:val="single" w:sz="6" w:space="0" w:color="auto"/>
              <w:right w:val="nil"/>
            </w:tcBorders>
          </w:tcPr>
          <w:p w14:paraId="3C686C0B"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0.153</w:t>
            </w:r>
          </w:p>
        </w:tc>
        <w:tc>
          <w:tcPr>
            <w:tcW w:w="1111" w:type="pct"/>
            <w:tcBorders>
              <w:top w:val="nil"/>
              <w:left w:val="nil"/>
              <w:bottom w:val="single" w:sz="6" w:space="0" w:color="auto"/>
              <w:right w:val="nil"/>
            </w:tcBorders>
          </w:tcPr>
          <w:p w14:paraId="0D05C7AE" w14:textId="77777777" w:rsidR="00712CF7" w:rsidRPr="00EE7169" w:rsidRDefault="00712CF7" w:rsidP="003506C9">
            <w:pPr>
              <w:autoSpaceDE w:val="0"/>
              <w:autoSpaceDN w:val="0"/>
              <w:adjustRightInd w:val="0"/>
              <w:jc w:val="center"/>
              <w:rPr>
                <w:rFonts w:ascii="Garamond" w:hAnsi="Garamond"/>
                <w:kern w:val="0"/>
                <w:sz w:val="22"/>
              </w:rPr>
            </w:pPr>
            <w:r w:rsidRPr="00EE7169">
              <w:rPr>
                <w:rFonts w:ascii="Garamond" w:hAnsi="Garamond"/>
                <w:kern w:val="0"/>
                <w:sz w:val="22"/>
              </w:rPr>
              <w:t>0.201</w:t>
            </w:r>
          </w:p>
        </w:tc>
      </w:tr>
    </w:tbl>
    <w:p w14:paraId="2463F2AC" w14:textId="2090B71B" w:rsidR="00B96B8C" w:rsidRPr="00EE7169" w:rsidRDefault="00B96B8C" w:rsidP="00B96B8C">
      <w:pPr>
        <w:rPr>
          <w:rFonts w:ascii="Garamond" w:hAnsi="Garamond"/>
          <w:kern w:val="0"/>
          <w:szCs w:val="24"/>
        </w:rPr>
      </w:pPr>
      <w:r w:rsidRPr="00EE7169">
        <w:rPr>
          <w:rFonts w:ascii="Garamond" w:hAnsi="Garamond"/>
          <w:kern w:val="0"/>
          <w:szCs w:val="24"/>
        </w:rPr>
        <w:t xml:space="preserve">This table additionally controls for per capita GDP, fiscal revenue, and fiscal autonomy of the government with which the firm is currently affiliated (See Appendix Table A </w:t>
      </w:r>
      <w:r w:rsidRPr="00EE7169">
        <w:rPr>
          <w:rFonts w:ascii="Garamond" w:hAnsi="Garamond"/>
          <w:szCs w:val="24"/>
        </w:rPr>
        <w:t>for definitions</w:t>
      </w:r>
      <w:r w:rsidRPr="00EE7169">
        <w:rPr>
          <w:rFonts w:ascii="Garamond" w:hAnsi="Garamond"/>
          <w:kern w:val="0"/>
          <w:szCs w:val="24"/>
        </w:rPr>
        <w:t xml:space="preserve">). </w:t>
      </w:r>
      <w:r w:rsidRPr="00EE7169">
        <w:rPr>
          <w:rFonts w:ascii="Garamond" w:eastAsia="STFangsong" w:hAnsi="Garamond"/>
          <w:szCs w:val="21"/>
        </w:rPr>
        <w:t xml:space="preserve">Column 1-3 are the results for the regression on the subsample of central SOEs, province SOEs and </w:t>
      </w:r>
      <w:r w:rsidRPr="00EE7169">
        <w:rPr>
          <w:rFonts w:ascii="Garamond" w:hAnsi="Garamond"/>
          <w:kern w:val="0"/>
          <w:sz w:val="20"/>
          <w:szCs w:val="20"/>
        </w:rPr>
        <w:t xml:space="preserve">municipal </w:t>
      </w:r>
      <w:r w:rsidRPr="00EE7169">
        <w:rPr>
          <w:rFonts w:ascii="Garamond" w:eastAsia="STFangsong" w:hAnsi="Garamond"/>
          <w:szCs w:val="21"/>
        </w:rPr>
        <w:t xml:space="preserve">SOEs respectively. We report marginal probabilities evaluated at the mean of the variables. </w:t>
      </w:r>
      <w:r w:rsidRPr="00EE7169">
        <w:rPr>
          <w:rFonts w:ascii="Garamond" w:hAnsi="Garamond"/>
          <w:kern w:val="0"/>
          <w:szCs w:val="24"/>
        </w:rPr>
        <w:t xml:space="preserve">Standard errors are clustered at the level </w:t>
      </w:r>
      <w:r w:rsidR="00BB5015" w:rsidRPr="00EE7169">
        <w:rPr>
          <w:rFonts w:ascii="Garamond" w:hAnsi="Garamond"/>
          <w:kern w:val="0"/>
          <w:szCs w:val="24"/>
        </w:rPr>
        <w:t>of the same oversight government</w:t>
      </w:r>
      <w:r w:rsidRPr="00EE7169">
        <w:rPr>
          <w:rFonts w:ascii="Garamond" w:hAnsi="Garamond"/>
          <w:kern w:val="0"/>
          <w:szCs w:val="24"/>
        </w:rPr>
        <w:t>.</w:t>
      </w:r>
      <w:r w:rsidRPr="00EE7169">
        <w:rPr>
          <w:rFonts w:ascii="Garamond" w:hAnsi="Garamond"/>
        </w:rPr>
        <w:t xml:space="preserve"> </w:t>
      </w:r>
      <w:r w:rsidRPr="00EE7169">
        <w:rPr>
          <w:rFonts w:ascii="Garamond" w:hAnsi="Garamond"/>
          <w:kern w:val="0"/>
          <w:szCs w:val="24"/>
        </w:rPr>
        <w:t>*, ** and *** indicate statistical significance at 10%, 5% and 1% levels, respectively.</w:t>
      </w:r>
    </w:p>
    <w:p w14:paraId="32F59340" w14:textId="75F0C683" w:rsidR="005D32E8" w:rsidRPr="00EE7169" w:rsidRDefault="00A87F4A" w:rsidP="005D32E8">
      <w:pPr>
        <w:widowControl/>
        <w:jc w:val="center"/>
        <w:rPr>
          <w:rFonts w:ascii="Garamond" w:hAnsi="Garamond"/>
          <w:b/>
          <w:kern w:val="0"/>
          <w:sz w:val="24"/>
          <w:szCs w:val="24"/>
        </w:rPr>
      </w:pPr>
      <w:r w:rsidRPr="00EE7169">
        <w:rPr>
          <w:rFonts w:ascii="Garamond" w:hAnsi="Garamond"/>
          <w:b/>
          <w:kern w:val="0"/>
          <w:sz w:val="24"/>
          <w:szCs w:val="24"/>
        </w:rPr>
        <w:br w:type="page"/>
      </w:r>
      <w:r w:rsidR="005D32E8" w:rsidRPr="00EE7169">
        <w:rPr>
          <w:rFonts w:ascii="Garamond" w:hAnsi="Garamond"/>
          <w:b/>
          <w:kern w:val="0"/>
          <w:sz w:val="24"/>
          <w:szCs w:val="24"/>
        </w:rPr>
        <w:lastRenderedPageBreak/>
        <w:t>Table</w:t>
      </w:r>
      <w:r w:rsidR="00D9136D">
        <w:rPr>
          <w:rFonts w:ascii="Garamond" w:hAnsi="Garamond"/>
          <w:b/>
          <w:kern w:val="0"/>
          <w:sz w:val="24"/>
          <w:szCs w:val="24"/>
        </w:rPr>
        <w:t>7</w:t>
      </w:r>
      <w:r w:rsidR="005D32E8" w:rsidRPr="00EE7169">
        <w:rPr>
          <w:rFonts w:ascii="Garamond" w:hAnsi="Garamond"/>
          <w:b/>
          <w:kern w:val="0"/>
          <w:sz w:val="24"/>
          <w:szCs w:val="24"/>
        </w:rPr>
        <w:t>. Determinants of the Decentralization - Placebo Test</w:t>
      </w:r>
    </w:p>
    <w:tbl>
      <w:tblPr>
        <w:tblW w:w="0" w:type="auto"/>
        <w:jc w:val="center"/>
        <w:tblCellMar>
          <w:left w:w="75" w:type="dxa"/>
          <w:right w:w="75" w:type="dxa"/>
        </w:tblCellMar>
        <w:tblLook w:val="0000" w:firstRow="0" w:lastRow="0" w:firstColumn="0" w:lastColumn="0" w:noHBand="0" w:noVBand="0"/>
      </w:tblPr>
      <w:tblGrid>
        <w:gridCol w:w="2914"/>
        <w:gridCol w:w="1385"/>
      </w:tblGrid>
      <w:tr w:rsidR="007908F1" w:rsidRPr="00EE7169" w14:paraId="6AF55AC5" w14:textId="173DF3D2" w:rsidTr="007908F1">
        <w:trPr>
          <w:jc w:val="center"/>
        </w:trPr>
        <w:tc>
          <w:tcPr>
            <w:tcW w:w="0" w:type="auto"/>
            <w:tcBorders>
              <w:top w:val="single" w:sz="4" w:space="0" w:color="auto"/>
              <w:left w:val="nil"/>
              <w:bottom w:val="single" w:sz="6" w:space="0" w:color="auto"/>
              <w:right w:val="nil"/>
            </w:tcBorders>
          </w:tcPr>
          <w:p w14:paraId="019F14D4" w14:textId="77777777" w:rsidR="007908F1" w:rsidRPr="00EE7169" w:rsidRDefault="007908F1" w:rsidP="00CD236A">
            <w:pPr>
              <w:autoSpaceDE w:val="0"/>
              <w:autoSpaceDN w:val="0"/>
              <w:adjustRightInd w:val="0"/>
              <w:jc w:val="center"/>
              <w:rPr>
                <w:rFonts w:ascii="Garamond" w:hAnsi="Garamond"/>
                <w:kern w:val="0"/>
                <w:sz w:val="22"/>
              </w:rPr>
            </w:pPr>
          </w:p>
        </w:tc>
        <w:tc>
          <w:tcPr>
            <w:tcW w:w="0" w:type="auto"/>
            <w:tcBorders>
              <w:top w:val="single" w:sz="4" w:space="0" w:color="auto"/>
              <w:left w:val="nil"/>
              <w:bottom w:val="single" w:sz="6" w:space="0" w:color="auto"/>
              <w:right w:val="nil"/>
            </w:tcBorders>
          </w:tcPr>
          <w:p w14:paraId="0D1FCDC0" w14:textId="2EBBD7D0"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(1)</w:t>
            </w:r>
          </w:p>
          <w:p w14:paraId="4EEEC93B" w14:textId="18250795"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Whole Sample</w:t>
            </w:r>
          </w:p>
        </w:tc>
      </w:tr>
      <w:tr w:rsidR="007908F1" w:rsidRPr="00EE7169" w14:paraId="114D403D" w14:textId="52CD8D6D" w:rsidTr="007908F1">
        <w:trPr>
          <w:jc w:val="center"/>
        </w:trPr>
        <w:tc>
          <w:tcPr>
            <w:tcW w:w="0" w:type="auto"/>
            <w:vMerge w:val="restart"/>
            <w:tcBorders>
              <w:top w:val="nil"/>
              <w:left w:val="nil"/>
              <w:right w:val="nil"/>
            </w:tcBorders>
          </w:tcPr>
          <w:p w14:paraId="61A82243" w14:textId="59B81781" w:rsidR="007908F1" w:rsidRPr="00EE7169" w:rsidRDefault="007908F1" w:rsidP="001F3E27">
            <w:pPr>
              <w:autoSpaceDE w:val="0"/>
              <w:autoSpaceDN w:val="0"/>
              <w:adjustRightInd w:val="0"/>
              <w:jc w:val="left"/>
              <w:rPr>
                <w:rFonts w:ascii="Garamond" w:hAnsi="Garamond"/>
                <w:kern w:val="0"/>
                <w:sz w:val="22"/>
              </w:rPr>
            </w:pPr>
            <w:r w:rsidRPr="00EE7169">
              <w:rPr>
                <w:rFonts w:ascii="Garamond" w:hAnsi="Garamond"/>
                <w:kern w:val="0"/>
                <w:sz w:val="22"/>
              </w:rPr>
              <w:t>Placebo distance</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0A37575C" w14:textId="10A1416C"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-0.0006</w:t>
            </w:r>
          </w:p>
        </w:tc>
      </w:tr>
      <w:tr w:rsidR="007908F1" w:rsidRPr="00EE7169" w14:paraId="066C8AAD" w14:textId="40202E84" w:rsidTr="007908F1">
        <w:trPr>
          <w:jc w:val="center"/>
        </w:trPr>
        <w:tc>
          <w:tcPr>
            <w:tcW w:w="0" w:type="auto"/>
            <w:vMerge/>
            <w:tcBorders>
              <w:left w:val="nil"/>
              <w:bottom w:val="nil"/>
              <w:right w:val="nil"/>
            </w:tcBorders>
          </w:tcPr>
          <w:p w14:paraId="5BA61E3A"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0EE28E82" w14:textId="574FD75C"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(0.0012)</w:t>
            </w:r>
          </w:p>
        </w:tc>
      </w:tr>
      <w:tr w:rsidR="007908F1" w:rsidRPr="00EE7169" w14:paraId="7E431AD3" w14:textId="3BA452BA" w:rsidTr="007908F1">
        <w:trPr>
          <w:jc w:val="center"/>
        </w:trPr>
        <w:tc>
          <w:tcPr>
            <w:tcW w:w="0" w:type="auto"/>
            <w:vMerge w:val="restart"/>
            <w:tcBorders>
              <w:top w:val="nil"/>
              <w:left w:val="nil"/>
              <w:right w:val="nil"/>
            </w:tcBorders>
          </w:tcPr>
          <w:p w14:paraId="0D10D4C2" w14:textId="447B9EA9" w:rsidR="007908F1" w:rsidRPr="00EE7169" w:rsidRDefault="007908F1" w:rsidP="001F3E27">
            <w:pPr>
              <w:autoSpaceDE w:val="0"/>
              <w:autoSpaceDN w:val="0"/>
              <w:adjustRightInd w:val="0"/>
              <w:jc w:val="left"/>
              <w:rPr>
                <w:rFonts w:ascii="Garamond" w:hAnsi="Garamond"/>
                <w:kern w:val="0"/>
                <w:sz w:val="22"/>
              </w:rPr>
            </w:pPr>
            <w:r w:rsidRPr="00EE7169">
              <w:rPr>
                <w:rFonts w:ascii="Garamond" w:hAnsi="Garamond"/>
                <w:kern w:val="0"/>
                <w:sz w:val="22"/>
              </w:rPr>
              <w:t>Firm asset</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59BEDC02" w14:textId="538A0DA5"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-0.0026***</w:t>
            </w:r>
          </w:p>
        </w:tc>
      </w:tr>
      <w:tr w:rsidR="007908F1" w:rsidRPr="00EE7169" w14:paraId="0BBAAE0C" w14:textId="586D537C" w:rsidTr="007908F1">
        <w:trPr>
          <w:jc w:val="center"/>
        </w:trPr>
        <w:tc>
          <w:tcPr>
            <w:tcW w:w="0" w:type="auto"/>
            <w:vMerge/>
            <w:tcBorders>
              <w:left w:val="nil"/>
              <w:bottom w:val="nil"/>
              <w:right w:val="nil"/>
            </w:tcBorders>
          </w:tcPr>
          <w:p w14:paraId="6F691858"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2DD7E660" w14:textId="40B4B0EF"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(0.0008)</w:t>
            </w:r>
          </w:p>
        </w:tc>
      </w:tr>
      <w:tr w:rsidR="007908F1" w:rsidRPr="00EE7169" w14:paraId="12802A2B" w14:textId="3474CFD3" w:rsidTr="007908F1">
        <w:trPr>
          <w:jc w:val="center"/>
        </w:trPr>
        <w:tc>
          <w:tcPr>
            <w:tcW w:w="0" w:type="auto"/>
            <w:vMerge w:val="restart"/>
            <w:tcBorders>
              <w:top w:val="nil"/>
              <w:left w:val="nil"/>
              <w:right w:val="nil"/>
            </w:tcBorders>
          </w:tcPr>
          <w:p w14:paraId="13B3A74D" w14:textId="0D123993" w:rsidR="007908F1" w:rsidRPr="00EE7169" w:rsidRDefault="007908F1" w:rsidP="001F3E27">
            <w:pPr>
              <w:autoSpaceDE w:val="0"/>
              <w:autoSpaceDN w:val="0"/>
              <w:adjustRightInd w:val="0"/>
              <w:jc w:val="left"/>
              <w:rPr>
                <w:rFonts w:ascii="Garamond" w:hAnsi="Garamond"/>
                <w:kern w:val="0"/>
                <w:sz w:val="22"/>
              </w:rPr>
            </w:pPr>
            <w:r w:rsidRPr="00EE7169">
              <w:rPr>
                <w:rFonts w:ascii="Garamond" w:hAnsi="Garamond"/>
                <w:kern w:val="0"/>
                <w:sz w:val="22"/>
              </w:rPr>
              <w:t>ROS</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6E25FD80" w14:textId="37B34AE1"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-0.0031**</w:t>
            </w:r>
          </w:p>
        </w:tc>
      </w:tr>
      <w:tr w:rsidR="007908F1" w:rsidRPr="00EE7169" w14:paraId="5ED66387" w14:textId="6DC9BEAC" w:rsidTr="007908F1">
        <w:trPr>
          <w:jc w:val="center"/>
        </w:trPr>
        <w:tc>
          <w:tcPr>
            <w:tcW w:w="0" w:type="auto"/>
            <w:vMerge/>
            <w:tcBorders>
              <w:left w:val="nil"/>
              <w:bottom w:val="nil"/>
              <w:right w:val="nil"/>
            </w:tcBorders>
          </w:tcPr>
          <w:p w14:paraId="59DE5C61"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428AEE3F" w14:textId="34E67BD5"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(0.0012)</w:t>
            </w:r>
          </w:p>
        </w:tc>
      </w:tr>
      <w:tr w:rsidR="007908F1" w:rsidRPr="00EE7169" w14:paraId="5D72D898" w14:textId="1EBAEE07" w:rsidTr="007908F1">
        <w:trPr>
          <w:jc w:val="center"/>
        </w:trPr>
        <w:tc>
          <w:tcPr>
            <w:tcW w:w="0" w:type="auto"/>
            <w:vMerge w:val="restart"/>
            <w:tcBorders>
              <w:top w:val="nil"/>
              <w:left w:val="nil"/>
              <w:right w:val="nil"/>
            </w:tcBorders>
          </w:tcPr>
          <w:p w14:paraId="61B51399" w14:textId="600D76E7" w:rsidR="007908F1" w:rsidRPr="00EE7169" w:rsidRDefault="007908F1" w:rsidP="001F3E27">
            <w:pPr>
              <w:autoSpaceDE w:val="0"/>
              <w:autoSpaceDN w:val="0"/>
              <w:adjustRightInd w:val="0"/>
              <w:jc w:val="left"/>
              <w:rPr>
                <w:rFonts w:ascii="Garamond" w:hAnsi="Garamond"/>
                <w:kern w:val="0"/>
                <w:sz w:val="22"/>
              </w:rPr>
            </w:pPr>
            <w:r w:rsidRPr="00EE7169">
              <w:rPr>
                <w:rFonts w:ascii="Garamond" w:hAnsi="Garamond"/>
                <w:kern w:val="0"/>
                <w:sz w:val="22"/>
              </w:rPr>
              <w:t>Firm importance</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7ABDC173" w14:textId="1764CE1F"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-0.0053**</w:t>
            </w:r>
          </w:p>
        </w:tc>
      </w:tr>
      <w:tr w:rsidR="007908F1" w:rsidRPr="00EE7169" w14:paraId="6A158890" w14:textId="322EBFA4" w:rsidTr="007908F1">
        <w:trPr>
          <w:jc w:val="center"/>
        </w:trPr>
        <w:tc>
          <w:tcPr>
            <w:tcW w:w="0" w:type="auto"/>
            <w:vMerge/>
            <w:tcBorders>
              <w:left w:val="nil"/>
              <w:bottom w:val="nil"/>
              <w:right w:val="nil"/>
            </w:tcBorders>
          </w:tcPr>
          <w:p w14:paraId="19EC213A"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12C37807" w14:textId="005D135A"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(0.0024)</w:t>
            </w:r>
          </w:p>
        </w:tc>
      </w:tr>
      <w:tr w:rsidR="007908F1" w:rsidRPr="00EE7169" w14:paraId="3EBA2C06" w14:textId="6C3F1CB8" w:rsidTr="007908F1">
        <w:trPr>
          <w:jc w:val="center"/>
        </w:trPr>
        <w:tc>
          <w:tcPr>
            <w:tcW w:w="0" w:type="auto"/>
            <w:vMerge w:val="restart"/>
            <w:tcBorders>
              <w:top w:val="nil"/>
              <w:left w:val="nil"/>
              <w:right w:val="nil"/>
            </w:tcBorders>
          </w:tcPr>
          <w:p w14:paraId="5724E570" w14:textId="70900DCB" w:rsidR="007908F1" w:rsidRPr="00EE7169" w:rsidRDefault="007908F1" w:rsidP="001F3E27">
            <w:pPr>
              <w:autoSpaceDE w:val="0"/>
              <w:autoSpaceDN w:val="0"/>
              <w:adjustRightInd w:val="0"/>
              <w:jc w:val="left"/>
              <w:rPr>
                <w:rFonts w:ascii="Garamond" w:hAnsi="Garamond"/>
                <w:kern w:val="0"/>
                <w:sz w:val="22"/>
              </w:rPr>
            </w:pPr>
            <w:r w:rsidRPr="00EE7169">
              <w:rPr>
                <w:rFonts w:ascii="Garamond" w:hAnsi="Garamond"/>
                <w:kern w:val="0"/>
                <w:sz w:val="22"/>
              </w:rPr>
              <w:t>Fully state-owned</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3D82CD75" w14:textId="04E5B83F"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-0.0059***</w:t>
            </w:r>
          </w:p>
        </w:tc>
      </w:tr>
      <w:tr w:rsidR="007908F1" w:rsidRPr="00EE7169" w14:paraId="79B5D4EC" w14:textId="75EE5717" w:rsidTr="007908F1">
        <w:trPr>
          <w:jc w:val="center"/>
        </w:trPr>
        <w:tc>
          <w:tcPr>
            <w:tcW w:w="0" w:type="auto"/>
            <w:vMerge/>
            <w:tcBorders>
              <w:left w:val="nil"/>
              <w:bottom w:val="nil"/>
              <w:right w:val="nil"/>
            </w:tcBorders>
          </w:tcPr>
          <w:p w14:paraId="0737C191"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010993EC" w14:textId="74FD5220"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(0.0019)</w:t>
            </w:r>
          </w:p>
        </w:tc>
      </w:tr>
      <w:tr w:rsidR="007908F1" w:rsidRPr="00EE7169" w14:paraId="1FA449A9" w14:textId="55207E41" w:rsidTr="007908F1">
        <w:trPr>
          <w:jc w:val="center"/>
        </w:trPr>
        <w:tc>
          <w:tcPr>
            <w:tcW w:w="0" w:type="auto"/>
            <w:vMerge w:val="restart"/>
            <w:tcBorders>
              <w:top w:val="nil"/>
              <w:left w:val="nil"/>
              <w:right w:val="nil"/>
            </w:tcBorders>
          </w:tcPr>
          <w:p w14:paraId="4FB6496F" w14:textId="253FD46D" w:rsidR="007908F1" w:rsidRPr="00EE7169" w:rsidRDefault="007908F1" w:rsidP="00906B0C">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GDP per capita</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1F2C1027" w14:textId="202C9AAF"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0.0009</w:t>
            </w:r>
          </w:p>
        </w:tc>
      </w:tr>
      <w:tr w:rsidR="007908F1" w:rsidRPr="00EE7169" w14:paraId="13863970" w14:textId="23B30C64" w:rsidTr="007908F1">
        <w:trPr>
          <w:jc w:val="center"/>
        </w:trPr>
        <w:tc>
          <w:tcPr>
            <w:tcW w:w="0" w:type="auto"/>
            <w:vMerge/>
            <w:tcBorders>
              <w:left w:val="nil"/>
              <w:bottom w:val="nil"/>
              <w:right w:val="nil"/>
            </w:tcBorders>
          </w:tcPr>
          <w:p w14:paraId="7CAA9010"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3665B471" w14:textId="57179BE2"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(0.0056)</w:t>
            </w:r>
          </w:p>
        </w:tc>
      </w:tr>
      <w:tr w:rsidR="007908F1" w:rsidRPr="00EE7169" w14:paraId="4836244D" w14:textId="3DA1789E" w:rsidTr="007908F1">
        <w:trPr>
          <w:jc w:val="center"/>
        </w:trPr>
        <w:tc>
          <w:tcPr>
            <w:tcW w:w="0" w:type="auto"/>
            <w:vMerge w:val="restart"/>
            <w:tcBorders>
              <w:top w:val="nil"/>
              <w:left w:val="nil"/>
              <w:right w:val="nil"/>
            </w:tcBorders>
          </w:tcPr>
          <w:p w14:paraId="1F564C11" w14:textId="01215721" w:rsidR="007908F1" w:rsidRPr="00EE7169" w:rsidRDefault="00906B0C" w:rsidP="000F1023">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S</w:t>
            </w:r>
            <w:r w:rsidR="007908F1" w:rsidRPr="00EE7169">
              <w:rPr>
                <w:rFonts w:ascii="Garamond" w:hAnsi="Garamond"/>
                <w:kern w:val="0"/>
                <w:sz w:val="22"/>
              </w:rPr>
              <w:t>tate sector share</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4CB0DB80" w14:textId="60C0A0E6"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0.0083</w:t>
            </w:r>
          </w:p>
        </w:tc>
      </w:tr>
      <w:tr w:rsidR="007908F1" w:rsidRPr="00EE7169" w14:paraId="2F6E3552" w14:textId="049EDA84" w:rsidTr="007908F1">
        <w:trPr>
          <w:jc w:val="center"/>
        </w:trPr>
        <w:tc>
          <w:tcPr>
            <w:tcW w:w="0" w:type="auto"/>
            <w:vMerge/>
            <w:tcBorders>
              <w:left w:val="nil"/>
              <w:bottom w:val="nil"/>
              <w:right w:val="nil"/>
            </w:tcBorders>
          </w:tcPr>
          <w:p w14:paraId="601B6CCC"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1729AB40" w14:textId="115942B7"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(0.0327)</w:t>
            </w:r>
          </w:p>
        </w:tc>
      </w:tr>
      <w:tr w:rsidR="007908F1" w:rsidRPr="00EE7169" w14:paraId="114022C7" w14:textId="58104D06" w:rsidTr="007908F1">
        <w:trPr>
          <w:jc w:val="center"/>
        </w:trPr>
        <w:tc>
          <w:tcPr>
            <w:tcW w:w="0" w:type="auto"/>
            <w:vMerge w:val="restart"/>
            <w:tcBorders>
              <w:top w:val="nil"/>
              <w:left w:val="nil"/>
              <w:right w:val="nil"/>
            </w:tcBorders>
          </w:tcPr>
          <w:p w14:paraId="320064DB" w14:textId="77182FC1" w:rsidR="007908F1" w:rsidRPr="00EE7169" w:rsidRDefault="00906B0C" w:rsidP="000F1023">
            <w:pPr>
              <w:autoSpaceDE w:val="0"/>
              <w:autoSpaceDN w:val="0"/>
              <w:adjustRightInd w:val="0"/>
              <w:ind w:left="220" w:hangingChars="100" w:hanging="220"/>
              <w:jc w:val="left"/>
              <w:rPr>
                <w:rFonts w:ascii="Garamond" w:hAnsi="Garamond"/>
                <w:kern w:val="0"/>
                <w:sz w:val="22"/>
              </w:rPr>
            </w:pPr>
            <w:r w:rsidRPr="00EE7169">
              <w:rPr>
                <w:rFonts w:ascii="Garamond" w:hAnsi="Garamond"/>
                <w:kern w:val="0"/>
                <w:sz w:val="22"/>
              </w:rPr>
              <w:t>U</w:t>
            </w:r>
            <w:r w:rsidR="007908F1" w:rsidRPr="00EE7169">
              <w:rPr>
                <w:rFonts w:ascii="Garamond" w:hAnsi="Garamond"/>
                <w:kern w:val="0"/>
                <w:sz w:val="22"/>
              </w:rPr>
              <w:t>nemployment</w:t>
            </w:r>
            <w:r w:rsidRPr="00EE7169">
              <w:rPr>
                <w:rFonts w:ascii="Garamond" w:hAnsi="Garamond"/>
                <w:kern w:val="0"/>
                <w:sz w:val="22"/>
              </w:rPr>
              <w:t xml:space="preserve"> rate</w:t>
            </w:r>
            <w:r w:rsidR="00870AEB" w:rsidRPr="00EE7169">
              <w:rPr>
                <w:rFonts w:ascii="Garamond" w:hAnsi="Garamond"/>
                <w:kern w:val="0"/>
                <w:sz w:val="18"/>
                <w:szCs w:val="18"/>
                <w:vertAlign w:val="subscript"/>
              </w:rPr>
              <w:t xml:space="preserve"> (t-1)</w:t>
            </w:r>
          </w:p>
        </w:tc>
        <w:tc>
          <w:tcPr>
            <w:tcW w:w="0" w:type="auto"/>
            <w:tcBorders>
              <w:top w:val="nil"/>
              <w:left w:val="nil"/>
              <w:bottom w:val="nil"/>
              <w:right w:val="nil"/>
            </w:tcBorders>
          </w:tcPr>
          <w:p w14:paraId="5429E5C5" w14:textId="33389AA1"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0.0023</w:t>
            </w:r>
          </w:p>
        </w:tc>
      </w:tr>
      <w:tr w:rsidR="007908F1" w:rsidRPr="00EE7169" w14:paraId="6F44D571" w14:textId="1E5396E6" w:rsidTr="007908F1">
        <w:trPr>
          <w:jc w:val="center"/>
        </w:trPr>
        <w:tc>
          <w:tcPr>
            <w:tcW w:w="0" w:type="auto"/>
            <w:vMerge/>
            <w:tcBorders>
              <w:left w:val="nil"/>
              <w:bottom w:val="nil"/>
              <w:right w:val="nil"/>
            </w:tcBorders>
          </w:tcPr>
          <w:p w14:paraId="6482EC6E" w14:textId="77777777" w:rsidR="007908F1" w:rsidRPr="00EE7169" w:rsidRDefault="007908F1" w:rsidP="00CD236A">
            <w:pPr>
              <w:autoSpaceDE w:val="0"/>
              <w:autoSpaceDN w:val="0"/>
              <w:adjustRightInd w:val="0"/>
              <w:jc w:val="left"/>
              <w:rPr>
                <w:rFonts w:ascii="Garamond" w:hAnsi="Garamond"/>
                <w:kern w:val="0"/>
                <w:sz w:val="22"/>
              </w:rPr>
            </w:pPr>
          </w:p>
        </w:tc>
        <w:tc>
          <w:tcPr>
            <w:tcW w:w="0" w:type="auto"/>
            <w:tcBorders>
              <w:top w:val="nil"/>
              <w:left w:val="nil"/>
              <w:bottom w:val="nil"/>
              <w:right w:val="nil"/>
            </w:tcBorders>
          </w:tcPr>
          <w:p w14:paraId="0DB52463" w14:textId="5B120C55"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(0.0026)</w:t>
            </w:r>
          </w:p>
        </w:tc>
      </w:tr>
      <w:tr w:rsidR="007908F1" w:rsidRPr="00EE7169" w14:paraId="69101E5E" w14:textId="77777777" w:rsidTr="007908F1">
        <w:trPr>
          <w:jc w:val="center"/>
        </w:trPr>
        <w:tc>
          <w:tcPr>
            <w:tcW w:w="0" w:type="auto"/>
            <w:tcBorders>
              <w:left w:val="nil"/>
              <w:bottom w:val="nil"/>
              <w:right w:val="nil"/>
            </w:tcBorders>
          </w:tcPr>
          <w:p w14:paraId="61A18F7B" w14:textId="2982AE5A" w:rsidR="007908F1" w:rsidRPr="00EE7169" w:rsidRDefault="007908F1" w:rsidP="00CD236A">
            <w:pPr>
              <w:autoSpaceDE w:val="0"/>
              <w:autoSpaceDN w:val="0"/>
              <w:adjustRightInd w:val="0"/>
              <w:jc w:val="left"/>
              <w:rPr>
                <w:rFonts w:ascii="Garamond" w:hAnsi="Garamond"/>
                <w:kern w:val="0"/>
                <w:sz w:val="22"/>
              </w:rPr>
            </w:pPr>
            <w:r w:rsidRPr="00EE7169">
              <w:rPr>
                <w:rFonts w:ascii="Garamond" w:hAnsi="Garamond"/>
                <w:kern w:val="0"/>
                <w:sz w:val="22"/>
              </w:rPr>
              <w:t>Oversight government dummies</w:t>
            </w:r>
          </w:p>
        </w:tc>
        <w:tc>
          <w:tcPr>
            <w:tcW w:w="0" w:type="auto"/>
            <w:tcBorders>
              <w:top w:val="nil"/>
              <w:left w:val="nil"/>
              <w:bottom w:val="nil"/>
              <w:right w:val="nil"/>
            </w:tcBorders>
          </w:tcPr>
          <w:p w14:paraId="0E0A3CCD" w14:textId="10F145FA"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YES</w:t>
            </w:r>
          </w:p>
        </w:tc>
      </w:tr>
      <w:tr w:rsidR="007908F1" w:rsidRPr="00EE7169" w14:paraId="2CD9EE4D" w14:textId="36A81848" w:rsidTr="007908F1">
        <w:trPr>
          <w:jc w:val="center"/>
        </w:trPr>
        <w:tc>
          <w:tcPr>
            <w:tcW w:w="0" w:type="auto"/>
            <w:tcBorders>
              <w:left w:val="nil"/>
              <w:bottom w:val="nil"/>
              <w:right w:val="nil"/>
            </w:tcBorders>
          </w:tcPr>
          <w:p w14:paraId="60E58C69" w14:textId="1F72EDF2" w:rsidR="007908F1" w:rsidRPr="00EE7169" w:rsidRDefault="007908F1" w:rsidP="00CD236A">
            <w:pPr>
              <w:autoSpaceDE w:val="0"/>
              <w:autoSpaceDN w:val="0"/>
              <w:adjustRightInd w:val="0"/>
              <w:jc w:val="left"/>
              <w:rPr>
                <w:rFonts w:ascii="Garamond" w:hAnsi="Garamond"/>
                <w:kern w:val="0"/>
                <w:sz w:val="22"/>
              </w:rPr>
            </w:pPr>
            <w:r w:rsidRPr="00EE7169">
              <w:rPr>
                <w:rFonts w:ascii="Garamond" w:hAnsi="Garamond"/>
                <w:kern w:val="0"/>
                <w:sz w:val="22"/>
              </w:rPr>
              <w:t>Year dummies</w:t>
            </w:r>
          </w:p>
        </w:tc>
        <w:tc>
          <w:tcPr>
            <w:tcW w:w="0" w:type="auto"/>
            <w:tcBorders>
              <w:top w:val="nil"/>
              <w:left w:val="nil"/>
              <w:bottom w:val="nil"/>
              <w:right w:val="nil"/>
            </w:tcBorders>
          </w:tcPr>
          <w:p w14:paraId="61487534" w14:textId="55DC0D1F" w:rsidR="007908F1" w:rsidRPr="00EE7169" w:rsidRDefault="007908F1" w:rsidP="00870AEB">
            <w:pPr>
              <w:autoSpaceDE w:val="0"/>
              <w:autoSpaceDN w:val="0"/>
              <w:adjustRightInd w:val="0"/>
              <w:jc w:val="center"/>
              <w:rPr>
                <w:rFonts w:ascii="Garamond" w:hAnsi="Garamond"/>
                <w:kern w:val="0"/>
                <w:sz w:val="22"/>
              </w:rPr>
            </w:pPr>
            <w:r w:rsidRPr="00EE7169">
              <w:rPr>
                <w:rFonts w:ascii="Garamond" w:hAnsi="Garamond"/>
                <w:kern w:val="0"/>
                <w:sz w:val="22"/>
              </w:rPr>
              <w:t>YES</w:t>
            </w:r>
          </w:p>
        </w:tc>
      </w:tr>
      <w:tr w:rsidR="00426F31" w:rsidRPr="00EE7169" w14:paraId="2080C084" w14:textId="5CD9E368" w:rsidTr="007908F1">
        <w:trPr>
          <w:jc w:val="center"/>
        </w:trPr>
        <w:tc>
          <w:tcPr>
            <w:tcW w:w="0" w:type="auto"/>
            <w:tcBorders>
              <w:left w:val="nil"/>
              <w:bottom w:val="nil"/>
              <w:right w:val="nil"/>
            </w:tcBorders>
          </w:tcPr>
          <w:p w14:paraId="3EBD367A" w14:textId="77777777" w:rsidR="00426F31" w:rsidRPr="00EE7169" w:rsidRDefault="00426F31" w:rsidP="00CD236A">
            <w:pPr>
              <w:autoSpaceDE w:val="0"/>
              <w:autoSpaceDN w:val="0"/>
              <w:adjustRightInd w:val="0"/>
              <w:jc w:val="left"/>
              <w:rPr>
                <w:rFonts w:ascii="Garamond" w:hAnsi="Garamond"/>
                <w:kern w:val="0"/>
                <w:sz w:val="22"/>
              </w:rPr>
            </w:pPr>
            <w:r w:rsidRPr="00EE7169">
              <w:rPr>
                <w:rFonts w:ascii="Garamond" w:hAnsi="Garamond"/>
                <w:kern w:val="0"/>
                <w:sz w:val="22"/>
              </w:rPr>
              <w:t>Observations</w:t>
            </w:r>
          </w:p>
        </w:tc>
        <w:tc>
          <w:tcPr>
            <w:tcW w:w="0" w:type="auto"/>
            <w:tcBorders>
              <w:top w:val="nil"/>
              <w:left w:val="nil"/>
              <w:bottom w:val="nil"/>
              <w:right w:val="nil"/>
            </w:tcBorders>
          </w:tcPr>
          <w:p w14:paraId="7BDFCBD8" w14:textId="4DE46BE7" w:rsidR="00426F31" w:rsidRPr="00EE7169" w:rsidRDefault="00426F31" w:rsidP="00870AEB">
            <w:pPr>
              <w:autoSpaceDE w:val="0"/>
              <w:autoSpaceDN w:val="0"/>
              <w:adjustRightInd w:val="0"/>
              <w:jc w:val="center"/>
              <w:rPr>
                <w:rFonts w:ascii="Garamond" w:hAnsi="Garamond"/>
                <w:kern w:val="0"/>
                <w:sz w:val="22"/>
              </w:rPr>
            </w:pPr>
            <w:r w:rsidRPr="00EE7169">
              <w:rPr>
                <w:rFonts w:ascii="Garamond" w:hAnsi="Garamond"/>
                <w:kern w:val="0"/>
                <w:sz w:val="22"/>
                <w:szCs w:val="21"/>
              </w:rPr>
              <w:t>41</w:t>
            </w:r>
            <w:r w:rsidR="0093310A">
              <w:rPr>
                <w:rFonts w:ascii="Garamond" w:hAnsi="Garamond"/>
                <w:kern w:val="0"/>
                <w:sz w:val="22"/>
                <w:szCs w:val="21"/>
              </w:rPr>
              <w:t>,</w:t>
            </w:r>
            <w:r w:rsidRPr="00EE7169">
              <w:rPr>
                <w:rFonts w:ascii="Garamond" w:hAnsi="Garamond"/>
                <w:kern w:val="0"/>
                <w:sz w:val="22"/>
                <w:szCs w:val="21"/>
              </w:rPr>
              <w:t>699</w:t>
            </w:r>
          </w:p>
        </w:tc>
      </w:tr>
      <w:tr w:rsidR="00426F31" w:rsidRPr="00EE7169" w14:paraId="0A2C0F36" w14:textId="512C6A70" w:rsidTr="007908F1">
        <w:tblPrEx>
          <w:tblBorders>
            <w:bottom w:val="single" w:sz="6" w:space="0" w:color="auto"/>
          </w:tblBorders>
        </w:tblPrEx>
        <w:trPr>
          <w:jc w:val="center"/>
        </w:trPr>
        <w:tc>
          <w:tcPr>
            <w:tcW w:w="0" w:type="auto"/>
            <w:tcBorders>
              <w:top w:val="nil"/>
              <w:left w:val="nil"/>
              <w:bottom w:val="single" w:sz="6" w:space="0" w:color="auto"/>
              <w:right w:val="nil"/>
            </w:tcBorders>
          </w:tcPr>
          <w:p w14:paraId="06665CC7" w14:textId="77777777" w:rsidR="00426F31" w:rsidRPr="00EE7169" w:rsidRDefault="00426F31" w:rsidP="00CD236A">
            <w:pPr>
              <w:autoSpaceDE w:val="0"/>
              <w:autoSpaceDN w:val="0"/>
              <w:adjustRightInd w:val="0"/>
              <w:jc w:val="left"/>
              <w:rPr>
                <w:rFonts w:ascii="Garamond" w:hAnsi="Garamond"/>
                <w:kern w:val="0"/>
                <w:sz w:val="22"/>
              </w:rPr>
            </w:pPr>
            <w:r w:rsidRPr="00EE7169">
              <w:rPr>
                <w:rFonts w:ascii="Garamond" w:hAnsi="Garamond"/>
                <w:kern w:val="0"/>
                <w:sz w:val="22"/>
              </w:rPr>
              <w:t>Pseudo R2</w:t>
            </w:r>
          </w:p>
        </w:tc>
        <w:tc>
          <w:tcPr>
            <w:tcW w:w="0" w:type="auto"/>
            <w:tcBorders>
              <w:top w:val="nil"/>
              <w:left w:val="nil"/>
              <w:bottom w:val="single" w:sz="6" w:space="0" w:color="auto"/>
              <w:right w:val="nil"/>
            </w:tcBorders>
          </w:tcPr>
          <w:p w14:paraId="2001E316" w14:textId="75D2717C" w:rsidR="00426F31" w:rsidRPr="00EE7169" w:rsidRDefault="00426F31" w:rsidP="00870AEB">
            <w:pPr>
              <w:autoSpaceDE w:val="0"/>
              <w:autoSpaceDN w:val="0"/>
              <w:adjustRightInd w:val="0"/>
              <w:jc w:val="center"/>
              <w:rPr>
                <w:rFonts w:ascii="Garamond" w:hAnsi="Garamond"/>
                <w:kern w:val="0"/>
                <w:sz w:val="22"/>
              </w:rPr>
            </w:pPr>
            <w:r w:rsidRPr="00EE7169">
              <w:rPr>
                <w:rFonts w:ascii="Garamond" w:hAnsi="Garamond"/>
                <w:kern w:val="0"/>
                <w:sz w:val="22"/>
                <w:szCs w:val="21"/>
              </w:rPr>
              <w:t>0.101</w:t>
            </w:r>
          </w:p>
        </w:tc>
      </w:tr>
    </w:tbl>
    <w:p w14:paraId="141E1F4A" w14:textId="626C4436" w:rsidR="00B96B8C" w:rsidRPr="00EE7169" w:rsidRDefault="00B96B8C" w:rsidP="00B96B8C">
      <w:pPr>
        <w:rPr>
          <w:rFonts w:ascii="Garamond" w:eastAsia="STFangsong" w:hAnsi="Garamond"/>
          <w:szCs w:val="21"/>
        </w:rPr>
      </w:pPr>
      <w:r w:rsidRPr="00EE7169">
        <w:rPr>
          <w:rFonts w:ascii="Garamond" w:hAnsi="Garamond"/>
          <w:kern w:val="0"/>
          <w:szCs w:val="21"/>
        </w:rPr>
        <w:t>This table replicates table 3 by replacing the distance variable with a new variable –</w:t>
      </w:r>
      <w:r w:rsidRPr="00EE7169">
        <w:rPr>
          <w:rFonts w:ascii="Garamond" w:hAnsi="Garamond"/>
          <w:i/>
          <w:kern w:val="0"/>
          <w:szCs w:val="21"/>
        </w:rPr>
        <w:t>Placebo distance</w:t>
      </w:r>
      <w:r w:rsidRPr="00EE7169">
        <w:rPr>
          <w:rFonts w:ascii="Garamond" w:hAnsi="Garamond"/>
          <w:kern w:val="0"/>
          <w:szCs w:val="21"/>
        </w:rPr>
        <w:t xml:space="preserve"> which is defined as “distance from Shanghai for central SOEs, distance from the largest city within the province (except for the provincial capital) for province SOEs, distance from the largest county-level city within the same prefecture (except for the prefecture seat) for </w:t>
      </w:r>
      <w:r w:rsidRPr="00EE7169">
        <w:rPr>
          <w:rFonts w:ascii="Garamond" w:hAnsi="Garamond"/>
          <w:kern w:val="0"/>
          <w:sz w:val="20"/>
          <w:szCs w:val="20"/>
        </w:rPr>
        <w:t xml:space="preserve">municipal </w:t>
      </w:r>
      <w:r w:rsidRPr="00EE7169">
        <w:rPr>
          <w:rFonts w:ascii="Garamond" w:hAnsi="Garamond"/>
          <w:kern w:val="0"/>
          <w:szCs w:val="21"/>
        </w:rPr>
        <w:t xml:space="preserve">SOEs”. </w:t>
      </w:r>
      <w:r w:rsidRPr="00EE7169">
        <w:rPr>
          <w:rFonts w:ascii="Garamond" w:eastAsia="STFangsong" w:hAnsi="Garamond"/>
          <w:szCs w:val="21"/>
        </w:rPr>
        <w:t xml:space="preserve">Marginal effects evaluated at the mean and standard errors are listed. The dependent variable, </w:t>
      </w:r>
      <w:r w:rsidRPr="00EE7169">
        <w:rPr>
          <w:rFonts w:ascii="Garamond" w:eastAsia="STFangsong" w:hAnsi="Garamond"/>
          <w:i/>
          <w:szCs w:val="21"/>
        </w:rPr>
        <w:t>Decentralized</w:t>
      </w:r>
      <w:r w:rsidRPr="00EE7169">
        <w:rPr>
          <w:rFonts w:ascii="Garamond" w:eastAsia="STFangsong" w:hAnsi="Garamond"/>
          <w:szCs w:val="21"/>
        </w:rPr>
        <w:t xml:space="preserve">, takes on the value of 1 if a firm is decentralized in year t, and 0 otherwise. </w:t>
      </w:r>
      <w:r w:rsidRPr="00EE7169">
        <w:rPr>
          <w:rFonts w:ascii="Garamond" w:hAnsi="Garamond"/>
          <w:color w:val="000000"/>
          <w:kern w:val="0"/>
          <w:szCs w:val="21"/>
        </w:rPr>
        <w:t>All t</w:t>
      </w:r>
      <w:r w:rsidRPr="00EE7169">
        <w:rPr>
          <w:rFonts w:ascii="Garamond" w:eastAsia="STFangsong" w:hAnsi="Garamond"/>
          <w:szCs w:val="21"/>
        </w:rPr>
        <w:t xml:space="preserve">hese firm-specific and province-specific variables are lagged by one year. Standard errors are clustered at the level </w:t>
      </w:r>
      <w:r w:rsidR="00BB5015" w:rsidRPr="00EE7169">
        <w:rPr>
          <w:rFonts w:ascii="Garamond" w:eastAsia="STFangsong" w:hAnsi="Garamond"/>
          <w:szCs w:val="21"/>
        </w:rPr>
        <w:t>of the same oversight government</w:t>
      </w:r>
      <w:r w:rsidRPr="00EE7169">
        <w:rPr>
          <w:rFonts w:ascii="Garamond" w:eastAsia="STFangsong" w:hAnsi="Garamond"/>
          <w:szCs w:val="21"/>
        </w:rPr>
        <w:t xml:space="preserve">. *, ** and *** indicate statistical significance at 10%, 5% and 1% levels, respectively. </w:t>
      </w:r>
    </w:p>
    <w:p w14:paraId="57503ACC" w14:textId="64419330" w:rsidR="00F76DA1" w:rsidRPr="00EE7169" w:rsidRDefault="005D32E8" w:rsidP="00F451FE">
      <w:pPr>
        <w:widowControl/>
        <w:jc w:val="center"/>
        <w:rPr>
          <w:rFonts w:ascii="Garamond" w:hAnsi="Garamond"/>
          <w:b/>
          <w:kern w:val="0"/>
          <w:sz w:val="24"/>
          <w:szCs w:val="21"/>
        </w:rPr>
      </w:pPr>
      <w:r w:rsidRPr="00EE7169">
        <w:rPr>
          <w:rFonts w:ascii="Garamond" w:hAnsi="Garamond"/>
          <w:b/>
          <w:kern w:val="0"/>
          <w:sz w:val="24"/>
          <w:szCs w:val="21"/>
        </w:rPr>
        <w:br w:type="page"/>
      </w:r>
      <w:r w:rsidR="005742DF" w:rsidRPr="00EE7169">
        <w:rPr>
          <w:rFonts w:ascii="Garamond" w:hAnsi="Garamond"/>
          <w:b/>
          <w:kern w:val="0"/>
          <w:sz w:val="24"/>
          <w:szCs w:val="21"/>
        </w:rPr>
        <w:lastRenderedPageBreak/>
        <w:t>Table</w:t>
      </w:r>
      <w:r w:rsidRPr="00EE7169">
        <w:rPr>
          <w:rFonts w:ascii="Garamond" w:hAnsi="Garamond"/>
          <w:b/>
          <w:kern w:val="0"/>
          <w:sz w:val="24"/>
          <w:szCs w:val="21"/>
        </w:rPr>
        <w:t xml:space="preserve"> </w:t>
      </w:r>
      <w:r w:rsidR="00D9136D">
        <w:rPr>
          <w:rFonts w:ascii="Garamond" w:hAnsi="Garamond"/>
          <w:b/>
          <w:kern w:val="0"/>
          <w:sz w:val="24"/>
          <w:szCs w:val="21"/>
        </w:rPr>
        <w:t>8</w:t>
      </w:r>
      <w:r w:rsidR="0055635F" w:rsidRPr="00EE7169">
        <w:rPr>
          <w:rFonts w:ascii="Garamond" w:hAnsi="Garamond"/>
          <w:b/>
          <w:kern w:val="0"/>
          <w:sz w:val="24"/>
          <w:szCs w:val="21"/>
        </w:rPr>
        <w:t>.</w:t>
      </w:r>
      <w:r w:rsidR="00376500" w:rsidRPr="00EE7169">
        <w:rPr>
          <w:rFonts w:ascii="Garamond" w:hAnsi="Garamond"/>
          <w:b/>
          <w:kern w:val="0"/>
          <w:sz w:val="24"/>
          <w:szCs w:val="21"/>
        </w:rPr>
        <w:t xml:space="preserve"> </w:t>
      </w:r>
      <w:r w:rsidR="000F6798" w:rsidRPr="00EE7169">
        <w:rPr>
          <w:rFonts w:ascii="Garamond" w:hAnsi="Garamond"/>
          <w:b/>
          <w:kern w:val="0"/>
          <w:sz w:val="24"/>
          <w:szCs w:val="21"/>
        </w:rPr>
        <w:t>Determinants of D</w:t>
      </w:r>
      <w:r w:rsidR="00F76DA1" w:rsidRPr="00EE7169">
        <w:rPr>
          <w:rFonts w:ascii="Garamond" w:hAnsi="Garamond"/>
          <w:b/>
          <w:kern w:val="0"/>
          <w:sz w:val="24"/>
          <w:szCs w:val="21"/>
        </w:rPr>
        <w:t xml:space="preserve">ecentralization </w:t>
      </w:r>
      <w:r w:rsidR="000F6798" w:rsidRPr="00EE7169">
        <w:rPr>
          <w:rFonts w:ascii="Garamond" w:hAnsi="Garamond"/>
          <w:b/>
          <w:kern w:val="0"/>
          <w:sz w:val="24"/>
          <w:szCs w:val="21"/>
        </w:rPr>
        <w:t xml:space="preserve">- </w:t>
      </w:r>
      <w:r w:rsidR="00F76DA1" w:rsidRPr="00EE7169">
        <w:rPr>
          <w:rFonts w:ascii="Garamond" w:hAnsi="Garamond"/>
          <w:b/>
          <w:kern w:val="0"/>
          <w:sz w:val="24"/>
          <w:szCs w:val="21"/>
        </w:rPr>
        <w:t>Third Front Construction</w:t>
      </w:r>
      <w:r w:rsidR="00181DBD" w:rsidRPr="00EE7169">
        <w:rPr>
          <w:rFonts w:ascii="Garamond" w:hAnsi="Garamond"/>
          <w:b/>
          <w:kern w:val="0"/>
          <w:sz w:val="24"/>
          <w:szCs w:val="21"/>
        </w:rPr>
        <w:t xml:space="preserve"> as </w:t>
      </w:r>
      <w:r w:rsidR="00F76DA1" w:rsidRPr="00EE7169">
        <w:rPr>
          <w:rFonts w:ascii="Garamond" w:hAnsi="Garamond"/>
          <w:b/>
          <w:kern w:val="0"/>
          <w:sz w:val="24"/>
          <w:szCs w:val="21"/>
        </w:rPr>
        <w:t>IV</w:t>
      </w:r>
    </w:p>
    <w:tbl>
      <w:tblPr>
        <w:tblW w:w="5239" w:type="pct"/>
        <w:jc w:val="center"/>
        <w:tblCellMar>
          <w:left w:w="75" w:type="dxa"/>
          <w:right w:w="75" w:type="dxa"/>
        </w:tblCellMar>
        <w:tblLook w:val="04A0" w:firstRow="1" w:lastRow="0" w:firstColumn="1" w:lastColumn="0" w:noHBand="0" w:noVBand="1"/>
      </w:tblPr>
      <w:tblGrid>
        <w:gridCol w:w="2825"/>
        <w:gridCol w:w="1888"/>
        <w:gridCol w:w="1583"/>
        <w:gridCol w:w="1887"/>
        <w:gridCol w:w="1581"/>
        <w:gridCol w:w="1909"/>
        <w:gridCol w:w="1906"/>
      </w:tblGrid>
      <w:tr w:rsidR="001F3CC0" w:rsidRPr="00EE7169" w14:paraId="200671AB" w14:textId="2BD789BA" w:rsidTr="00E51C85">
        <w:trPr>
          <w:jc w:val="center"/>
        </w:trPr>
        <w:tc>
          <w:tcPr>
            <w:tcW w:w="1040" w:type="pct"/>
            <w:vMerge w:val="restart"/>
            <w:tcBorders>
              <w:top w:val="single" w:sz="6" w:space="0" w:color="auto"/>
              <w:left w:val="nil"/>
              <w:right w:val="nil"/>
            </w:tcBorders>
          </w:tcPr>
          <w:p w14:paraId="77EB6925" w14:textId="77777777" w:rsidR="001F3CC0" w:rsidRPr="00EE7169" w:rsidRDefault="001F3CC0" w:rsidP="00BE2636">
            <w:pPr>
              <w:autoSpaceDE w:val="0"/>
              <w:autoSpaceDN w:val="0"/>
              <w:adjustRightInd w:val="0"/>
              <w:jc w:val="center"/>
              <w:rPr>
                <w:rFonts w:ascii="Garamond" w:hAnsi="Garamond"/>
                <w:kern w:val="0"/>
                <w:sz w:val="20"/>
                <w:szCs w:val="20"/>
              </w:rPr>
            </w:pPr>
          </w:p>
        </w:tc>
        <w:tc>
          <w:tcPr>
            <w:tcW w:w="1278" w:type="pct"/>
            <w:gridSpan w:val="2"/>
            <w:tcBorders>
              <w:top w:val="single" w:sz="6" w:space="0" w:color="auto"/>
              <w:left w:val="nil"/>
              <w:bottom w:val="single" w:sz="4" w:space="0" w:color="auto"/>
              <w:right w:val="nil"/>
            </w:tcBorders>
          </w:tcPr>
          <w:p w14:paraId="1D2DA40F" w14:textId="77777777"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IV Probit model</w:t>
            </w:r>
          </w:p>
        </w:tc>
        <w:tc>
          <w:tcPr>
            <w:tcW w:w="1277" w:type="pct"/>
            <w:gridSpan w:val="2"/>
            <w:tcBorders>
              <w:top w:val="single" w:sz="6" w:space="0" w:color="auto"/>
              <w:left w:val="nil"/>
              <w:bottom w:val="single" w:sz="4" w:space="0" w:color="auto"/>
              <w:right w:val="nil"/>
            </w:tcBorders>
          </w:tcPr>
          <w:p w14:paraId="7AFB9169" w14:textId="06BCC8FB" w:rsidR="001F3CC0"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IV Probit model</w:t>
            </w:r>
          </w:p>
        </w:tc>
        <w:tc>
          <w:tcPr>
            <w:tcW w:w="1405" w:type="pct"/>
            <w:gridSpan w:val="2"/>
            <w:tcBorders>
              <w:top w:val="single" w:sz="6" w:space="0" w:color="auto"/>
              <w:left w:val="nil"/>
              <w:bottom w:val="single" w:sz="4" w:space="0" w:color="auto"/>
              <w:right w:val="nil"/>
            </w:tcBorders>
          </w:tcPr>
          <w:p w14:paraId="06CB5F3E" w14:textId="1D9BCE4B" w:rsidR="001F3CC0"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2SLS model</w:t>
            </w:r>
          </w:p>
        </w:tc>
      </w:tr>
      <w:tr w:rsidR="001F3CC0" w:rsidRPr="00EE7169" w14:paraId="181478F9" w14:textId="4311899E" w:rsidTr="00E51C85">
        <w:trPr>
          <w:jc w:val="center"/>
        </w:trPr>
        <w:tc>
          <w:tcPr>
            <w:tcW w:w="1040" w:type="pct"/>
            <w:vMerge/>
            <w:tcBorders>
              <w:left w:val="nil"/>
              <w:right w:val="nil"/>
            </w:tcBorders>
          </w:tcPr>
          <w:p w14:paraId="32435ECD" w14:textId="77777777" w:rsidR="001F3CC0" w:rsidRPr="00EE7169" w:rsidRDefault="001F3CC0" w:rsidP="00181DBD">
            <w:pPr>
              <w:autoSpaceDE w:val="0"/>
              <w:autoSpaceDN w:val="0"/>
              <w:adjustRightInd w:val="0"/>
              <w:jc w:val="center"/>
              <w:rPr>
                <w:rFonts w:ascii="Garamond" w:hAnsi="Garamond"/>
                <w:kern w:val="0"/>
                <w:sz w:val="20"/>
                <w:szCs w:val="20"/>
              </w:rPr>
            </w:pPr>
          </w:p>
        </w:tc>
        <w:tc>
          <w:tcPr>
            <w:tcW w:w="695" w:type="pct"/>
            <w:tcBorders>
              <w:top w:val="single" w:sz="6" w:space="0" w:color="auto"/>
              <w:left w:val="nil"/>
              <w:bottom w:val="single" w:sz="4" w:space="0" w:color="auto"/>
              <w:right w:val="nil"/>
            </w:tcBorders>
          </w:tcPr>
          <w:p w14:paraId="5D98A25B" w14:textId="77777777"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 2</w:t>
            </w:r>
            <w:r w:rsidRPr="00EE7169">
              <w:rPr>
                <w:rFonts w:ascii="Garamond" w:hAnsi="Garamond"/>
                <w:kern w:val="0"/>
                <w:sz w:val="20"/>
                <w:szCs w:val="20"/>
                <w:vertAlign w:val="superscript"/>
              </w:rPr>
              <w:t>nd</w:t>
            </w:r>
            <w:r w:rsidRPr="00EE7169">
              <w:rPr>
                <w:rFonts w:ascii="Garamond" w:hAnsi="Garamond"/>
                <w:kern w:val="0"/>
                <w:sz w:val="20"/>
                <w:szCs w:val="20"/>
              </w:rPr>
              <w:t xml:space="preserve"> stage</w:t>
            </w:r>
          </w:p>
        </w:tc>
        <w:tc>
          <w:tcPr>
            <w:tcW w:w="583" w:type="pct"/>
            <w:tcBorders>
              <w:top w:val="single" w:sz="6" w:space="0" w:color="auto"/>
              <w:left w:val="nil"/>
              <w:bottom w:val="single" w:sz="4" w:space="0" w:color="auto"/>
              <w:right w:val="nil"/>
            </w:tcBorders>
          </w:tcPr>
          <w:p w14:paraId="43996CA0" w14:textId="77777777"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(2) 1</w:t>
            </w:r>
            <w:r w:rsidRPr="00EE7169">
              <w:rPr>
                <w:rFonts w:ascii="Garamond" w:hAnsi="Garamond"/>
                <w:kern w:val="0"/>
                <w:sz w:val="20"/>
                <w:szCs w:val="20"/>
                <w:vertAlign w:val="superscript"/>
              </w:rPr>
              <w:t>st</w:t>
            </w:r>
            <w:r w:rsidRPr="00EE7169">
              <w:rPr>
                <w:rFonts w:ascii="Garamond" w:hAnsi="Garamond"/>
                <w:kern w:val="0"/>
                <w:sz w:val="20"/>
                <w:szCs w:val="20"/>
              </w:rPr>
              <w:t xml:space="preserve"> stage</w:t>
            </w:r>
          </w:p>
        </w:tc>
        <w:tc>
          <w:tcPr>
            <w:tcW w:w="695" w:type="pct"/>
            <w:tcBorders>
              <w:top w:val="single" w:sz="6" w:space="0" w:color="auto"/>
              <w:left w:val="nil"/>
              <w:bottom w:val="single" w:sz="4" w:space="0" w:color="auto"/>
              <w:right w:val="nil"/>
            </w:tcBorders>
          </w:tcPr>
          <w:p w14:paraId="6FE921B8" w14:textId="77777777"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(3) 2</w:t>
            </w:r>
            <w:r w:rsidRPr="00EE7169">
              <w:rPr>
                <w:rFonts w:ascii="Garamond" w:hAnsi="Garamond"/>
                <w:kern w:val="0"/>
                <w:sz w:val="20"/>
                <w:szCs w:val="20"/>
                <w:vertAlign w:val="superscript"/>
              </w:rPr>
              <w:t>nd</w:t>
            </w:r>
            <w:r w:rsidRPr="00EE7169">
              <w:rPr>
                <w:rFonts w:ascii="Garamond" w:hAnsi="Garamond"/>
                <w:kern w:val="0"/>
                <w:sz w:val="20"/>
                <w:szCs w:val="20"/>
              </w:rPr>
              <w:t xml:space="preserve"> stage</w:t>
            </w:r>
          </w:p>
        </w:tc>
        <w:tc>
          <w:tcPr>
            <w:tcW w:w="582" w:type="pct"/>
            <w:tcBorders>
              <w:top w:val="single" w:sz="6" w:space="0" w:color="auto"/>
              <w:left w:val="nil"/>
              <w:bottom w:val="single" w:sz="4" w:space="0" w:color="auto"/>
              <w:right w:val="nil"/>
            </w:tcBorders>
          </w:tcPr>
          <w:p w14:paraId="5DBF89C0" w14:textId="77777777"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 1</w:t>
            </w:r>
            <w:r w:rsidRPr="00EE7169">
              <w:rPr>
                <w:rFonts w:ascii="Garamond" w:hAnsi="Garamond"/>
                <w:kern w:val="0"/>
                <w:sz w:val="20"/>
                <w:szCs w:val="20"/>
                <w:vertAlign w:val="superscript"/>
              </w:rPr>
              <w:t>st</w:t>
            </w:r>
            <w:r w:rsidRPr="00EE7169">
              <w:rPr>
                <w:rFonts w:ascii="Garamond" w:hAnsi="Garamond"/>
                <w:kern w:val="0"/>
                <w:sz w:val="20"/>
                <w:szCs w:val="20"/>
              </w:rPr>
              <w:t xml:space="preserve"> stage</w:t>
            </w:r>
          </w:p>
        </w:tc>
        <w:tc>
          <w:tcPr>
            <w:tcW w:w="703" w:type="pct"/>
            <w:tcBorders>
              <w:top w:val="single" w:sz="6" w:space="0" w:color="auto"/>
              <w:left w:val="nil"/>
              <w:bottom w:val="single" w:sz="4" w:space="0" w:color="auto"/>
              <w:right w:val="nil"/>
            </w:tcBorders>
          </w:tcPr>
          <w:p w14:paraId="012D33A2" w14:textId="13500FEB"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(5) 2</w:t>
            </w:r>
            <w:r w:rsidRPr="00EE7169">
              <w:rPr>
                <w:rFonts w:ascii="Garamond" w:hAnsi="Garamond"/>
                <w:kern w:val="0"/>
                <w:sz w:val="20"/>
                <w:szCs w:val="20"/>
                <w:vertAlign w:val="superscript"/>
              </w:rPr>
              <w:t>nd</w:t>
            </w:r>
            <w:r w:rsidRPr="00EE7169">
              <w:rPr>
                <w:rFonts w:ascii="Garamond" w:hAnsi="Garamond"/>
                <w:kern w:val="0"/>
                <w:sz w:val="20"/>
                <w:szCs w:val="20"/>
              </w:rPr>
              <w:t xml:space="preserve"> stage</w:t>
            </w:r>
          </w:p>
        </w:tc>
        <w:tc>
          <w:tcPr>
            <w:tcW w:w="702" w:type="pct"/>
            <w:tcBorders>
              <w:top w:val="single" w:sz="6" w:space="0" w:color="auto"/>
              <w:left w:val="nil"/>
              <w:bottom w:val="single" w:sz="4" w:space="0" w:color="auto"/>
              <w:right w:val="nil"/>
            </w:tcBorders>
          </w:tcPr>
          <w:p w14:paraId="12D93FCD" w14:textId="3ACF66B8" w:rsidR="001F3CC0" w:rsidRPr="00EE7169" w:rsidRDefault="001F3CC0"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(6) 1</w:t>
            </w:r>
            <w:r w:rsidRPr="00EE7169">
              <w:rPr>
                <w:rFonts w:ascii="Garamond" w:hAnsi="Garamond"/>
                <w:kern w:val="0"/>
                <w:sz w:val="20"/>
                <w:szCs w:val="20"/>
                <w:vertAlign w:val="superscript"/>
              </w:rPr>
              <w:t>st</w:t>
            </w:r>
            <w:r w:rsidRPr="00EE7169">
              <w:rPr>
                <w:rFonts w:ascii="Garamond" w:hAnsi="Garamond"/>
                <w:kern w:val="0"/>
                <w:sz w:val="20"/>
                <w:szCs w:val="20"/>
              </w:rPr>
              <w:t xml:space="preserve"> stage</w:t>
            </w:r>
          </w:p>
        </w:tc>
      </w:tr>
      <w:tr w:rsidR="001F3CC0" w:rsidRPr="00EE7169" w14:paraId="740AB500" w14:textId="3371674D" w:rsidTr="00E51C85">
        <w:trPr>
          <w:jc w:val="center"/>
        </w:trPr>
        <w:tc>
          <w:tcPr>
            <w:tcW w:w="1040" w:type="pct"/>
            <w:vMerge/>
            <w:tcBorders>
              <w:left w:val="nil"/>
              <w:bottom w:val="single" w:sz="4" w:space="0" w:color="auto"/>
              <w:right w:val="nil"/>
            </w:tcBorders>
          </w:tcPr>
          <w:p w14:paraId="6471A359" w14:textId="77777777" w:rsidR="001F3CC0" w:rsidRPr="00EE7169" w:rsidRDefault="001F3CC0" w:rsidP="00181DBD">
            <w:pPr>
              <w:autoSpaceDE w:val="0"/>
              <w:autoSpaceDN w:val="0"/>
              <w:adjustRightInd w:val="0"/>
              <w:jc w:val="center"/>
              <w:rPr>
                <w:rFonts w:ascii="Garamond" w:hAnsi="Garamond"/>
                <w:kern w:val="0"/>
                <w:sz w:val="20"/>
                <w:szCs w:val="20"/>
              </w:rPr>
            </w:pPr>
          </w:p>
        </w:tc>
        <w:tc>
          <w:tcPr>
            <w:tcW w:w="695" w:type="pct"/>
            <w:tcBorders>
              <w:top w:val="single" w:sz="6" w:space="0" w:color="auto"/>
              <w:left w:val="nil"/>
              <w:bottom w:val="single" w:sz="4" w:space="0" w:color="auto"/>
              <w:right w:val="nil"/>
            </w:tcBorders>
          </w:tcPr>
          <w:p w14:paraId="769484B1" w14:textId="77777777" w:rsidR="001F3CC0" w:rsidRPr="00EE7169" w:rsidRDefault="001F3CC0" w:rsidP="00870AEB">
            <w:pPr>
              <w:autoSpaceDE w:val="0"/>
              <w:autoSpaceDN w:val="0"/>
              <w:adjustRightInd w:val="0"/>
              <w:jc w:val="center"/>
              <w:rPr>
                <w:rFonts w:ascii="Garamond" w:hAnsi="Garamond"/>
                <w:i/>
                <w:kern w:val="0"/>
                <w:sz w:val="20"/>
                <w:szCs w:val="20"/>
              </w:rPr>
            </w:pPr>
            <w:r w:rsidRPr="00EE7169">
              <w:rPr>
                <w:rFonts w:ascii="Garamond" w:hAnsi="Garamond"/>
                <w:i/>
                <w:kern w:val="0"/>
                <w:sz w:val="20"/>
                <w:szCs w:val="20"/>
              </w:rPr>
              <w:t>Decentralized</w:t>
            </w:r>
          </w:p>
        </w:tc>
        <w:tc>
          <w:tcPr>
            <w:tcW w:w="583" w:type="pct"/>
            <w:tcBorders>
              <w:top w:val="single" w:sz="6" w:space="0" w:color="auto"/>
              <w:left w:val="nil"/>
              <w:bottom w:val="single" w:sz="4" w:space="0" w:color="auto"/>
              <w:right w:val="nil"/>
            </w:tcBorders>
          </w:tcPr>
          <w:p w14:paraId="3AB361B4" w14:textId="77777777" w:rsidR="001F3CC0" w:rsidRPr="00EE7169" w:rsidRDefault="001F3CC0" w:rsidP="00870AEB">
            <w:pPr>
              <w:autoSpaceDE w:val="0"/>
              <w:autoSpaceDN w:val="0"/>
              <w:adjustRightInd w:val="0"/>
              <w:jc w:val="center"/>
              <w:rPr>
                <w:rFonts w:ascii="Garamond" w:hAnsi="Garamond"/>
                <w:i/>
                <w:kern w:val="0"/>
                <w:sz w:val="20"/>
                <w:szCs w:val="20"/>
              </w:rPr>
            </w:pPr>
            <w:r w:rsidRPr="00EE7169">
              <w:rPr>
                <w:rFonts w:ascii="Garamond" w:hAnsi="Garamond"/>
                <w:i/>
                <w:kern w:val="0"/>
                <w:sz w:val="20"/>
                <w:szCs w:val="20"/>
              </w:rPr>
              <w:t>Distance</w:t>
            </w:r>
          </w:p>
        </w:tc>
        <w:tc>
          <w:tcPr>
            <w:tcW w:w="695" w:type="pct"/>
            <w:tcBorders>
              <w:top w:val="single" w:sz="6" w:space="0" w:color="auto"/>
              <w:left w:val="nil"/>
              <w:bottom w:val="single" w:sz="4" w:space="0" w:color="auto"/>
              <w:right w:val="nil"/>
            </w:tcBorders>
          </w:tcPr>
          <w:p w14:paraId="0EB80358" w14:textId="77777777" w:rsidR="001F3CC0" w:rsidRPr="00EE7169" w:rsidRDefault="001F3CC0" w:rsidP="00870AEB">
            <w:pPr>
              <w:autoSpaceDE w:val="0"/>
              <w:autoSpaceDN w:val="0"/>
              <w:adjustRightInd w:val="0"/>
              <w:jc w:val="center"/>
              <w:rPr>
                <w:rFonts w:ascii="Garamond" w:hAnsi="Garamond"/>
                <w:i/>
                <w:kern w:val="0"/>
                <w:sz w:val="20"/>
                <w:szCs w:val="20"/>
              </w:rPr>
            </w:pPr>
            <w:r w:rsidRPr="00EE7169">
              <w:rPr>
                <w:rFonts w:ascii="Garamond" w:hAnsi="Garamond"/>
                <w:i/>
                <w:kern w:val="0"/>
                <w:sz w:val="20"/>
                <w:szCs w:val="20"/>
              </w:rPr>
              <w:t>Decentralized</w:t>
            </w:r>
          </w:p>
        </w:tc>
        <w:tc>
          <w:tcPr>
            <w:tcW w:w="582" w:type="pct"/>
            <w:tcBorders>
              <w:top w:val="single" w:sz="6" w:space="0" w:color="auto"/>
              <w:left w:val="nil"/>
              <w:bottom w:val="single" w:sz="4" w:space="0" w:color="auto"/>
              <w:right w:val="nil"/>
            </w:tcBorders>
          </w:tcPr>
          <w:p w14:paraId="44650F59" w14:textId="77777777" w:rsidR="001F3CC0" w:rsidRPr="00EE7169" w:rsidRDefault="001F3CC0" w:rsidP="00870AEB">
            <w:pPr>
              <w:autoSpaceDE w:val="0"/>
              <w:autoSpaceDN w:val="0"/>
              <w:adjustRightInd w:val="0"/>
              <w:jc w:val="center"/>
              <w:rPr>
                <w:rFonts w:ascii="Garamond" w:hAnsi="Garamond"/>
                <w:i/>
                <w:kern w:val="0"/>
                <w:sz w:val="20"/>
                <w:szCs w:val="20"/>
              </w:rPr>
            </w:pPr>
            <w:r w:rsidRPr="00EE7169">
              <w:rPr>
                <w:rFonts w:ascii="Garamond" w:hAnsi="Garamond"/>
                <w:i/>
                <w:kern w:val="0"/>
                <w:sz w:val="20"/>
                <w:szCs w:val="20"/>
              </w:rPr>
              <w:t>Distance</w:t>
            </w:r>
          </w:p>
        </w:tc>
        <w:tc>
          <w:tcPr>
            <w:tcW w:w="703" w:type="pct"/>
            <w:tcBorders>
              <w:top w:val="single" w:sz="6" w:space="0" w:color="auto"/>
              <w:left w:val="nil"/>
              <w:bottom w:val="single" w:sz="4" w:space="0" w:color="auto"/>
              <w:right w:val="nil"/>
            </w:tcBorders>
          </w:tcPr>
          <w:p w14:paraId="4A3322EF" w14:textId="1AFFC26A" w:rsidR="001F3CC0" w:rsidRPr="00EE7169" w:rsidRDefault="001F3CC0" w:rsidP="00870AEB">
            <w:pPr>
              <w:autoSpaceDE w:val="0"/>
              <w:autoSpaceDN w:val="0"/>
              <w:adjustRightInd w:val="0"/>
              <w:jc w:val="center"/>
              <w:rPr>
                <w:rFonts w:ascii="Garamond" w:hAnsi="Garamond"/>
                <w:i/>
                <w:kern w:val="0"/>
                <w:sz w:val="20"/>
                <w:szCs w:val="20"/>
              </w:rPr>
            </w:pPr>
            <w:r w:rsidRPr="00EE7169">
              <w:rPr>
                <w:rFonts w:ascii="Garamond" w:hAnsi="Garamond"/>
                <w:i/>
                <w:kern w:val="0"/>
                <w:sz w:val="20"/>
                <w:szCs w:val="20"/>
              </w:rPr>
              <w:t>Decentralized</w:t>
            </w:r>
          </w:p>
        </w:tc>
        <w:tc>
          <w:tcPr>
            <w:tcW w:w="702" w:type="pct"/>
            <w:tcBorders>
              <w:top w:val="single" w:sz="6" w:space="0" w:color="auto"/>
              <w:left w:val="nil"/>
              <w:bottom w:val="single" w:sz="4" w:space="0" w:color="auto"/>
              <w:right w:val="nil"/>
            </w:tcBorders>
          </w:tcPr>
          <w:p w14:paraId="2094C7EC" w14:textId="60D22EB4" w:rsidR="001F3CC0" w:rsidRPr="00EE7169" w:rsidRDefault="001F3CC0" w:rsidP="00870AEB">
            <w:pPr>
              <w:autoSpaceDE w:val="0"/>
              <w:autoSpaceDN w:val="0"/>
              <w:adjustRightInd w:val="0"/>
              <w:jc w:val="center"/>
              <w:rPr>
                <w:rFonts w:ascii="Garamond" w:hAnsi="Garamond"/>
                <w:i/>
                <w:kern w:val="0"/>
                <w:sz w:val="20"/>
                <w:szCs w:val="20"/>
              </w:rPr>
            </w:pPr>
            <w:r w:rsidRPr="00EE7169">
              <w:rPr>
                <w:rFonts w:ascii="Garamond" w:hAnsi="Garamond"/>
                <w:i/>
                <w:kern w:val="0"/>
                <w:sz w:val="20"/>
                <w:szCs w:val="20"/>
              </w:rPr>
              <w:t>Distance</w:t>
            </w:r>
          </w:p>
        </w:tc>
      </w:tr>
      <w:tr w:rsidR="00E51C85" w:rsidRPr="00EE7169" w14:paraId="45243016" w14:textId="06C65F23" w:rsidTr="00E51C85">
        <w:trPr>
          <w:jc w:val="center"/>
        </w:trPr>
        <w:tc>
          <w:tcPr>
            <w:tcW w:w="1040" w:type="pct"/>
            <w:vMerge w:val="restart"/>
            <w:tcBorders>
              <w:top w:val="single" w:sz="4" w:space="0" w:color="auto"/>
            </w:tcBorders>
            <w:hideMark/>
          </w:tcPr>
          <w:p w14:paraId="59CEC1E0" w14:textId="463518F5"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Distance</w:t>
            </w:r>
            <w:r w:rsidRPr="00EE7169">
              <w:rPr>
                <w:rFonts w:ascii="Garamond" w:hAnsi="Garamond"/>
                <w:kern w:val="0"/>
                <w:sz w:val="20"/>
                <w:szCs w:val="20"/>
                <w:vertAlign w:val="subscript"/>
              </w:rPr>
              <w:t xml:space="preserve"> (t-1)</w:t>
            </w:r>
          </w:p>
        </w:tc>
        <w:tc>
          <w:tcPr>
            <w:tcW w:w="695" w:type="pct"/>
            <w:tcBorders>
              <w:top w:val="single" w:sz="4" w:space="0" w:color="auto"/>
            </w:tcBorders>
          </w:tcPr>
          <w:p w14:paraId="6BF09865" w14:textId="302F12A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0.0143**</w:t>
            </w:r>
          </w:p>
        </w:tc>
        <w:tc>
          <w:tcPr>
            <w:tcW w:w="583" w:type="pct"/>
            <w:tcBorders>
              <w:top w:val="single" w:sz="4" w:space="0" w:color="auto"/>
            </w:tcBorders>
          </w:tcPr>
          <w:p w14:paraId="08135BB9"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695" w:type="pct"/>
            <w:tcBorders>
              <w:top w:val="single" w:sz="4" w:space="0" w:color="auto"/>
            </w:tcBorders>
          </w:tcPr>
          <w:p w14:paraId="69B27397" w14:textId="29EA17FB"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0.0431**</w:t>
            </w:r>
          </w:p>
        </w:tc>
        <w:tc>
          <w:tcPr>
            <w:tcW w:w="582" w:type="pct"/>
            <w:tcBorders>
              <w:top w:val="single" w:sz="4" w:space="0" w:color="auto"/>
            </w:tcBorders>
          </w:tcPr>
          <w:p w14:paraId="7E094836"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703" w:type="pct"/>
            <w:tcBorders>
              <w:top w:val="single" w:sz="4" w:space="0" w:color="auto"/>
            </w:tcBorders>
          </w:tcPr>
          <w:p w14:paraId="15471FD2" w14:textId="0473B92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0.0318*</w:t>
            </w:r>
          </w:p>
        </w:tc>
        <w:tc>
          <w:tcPr>
            <w:tcW w:w="702" w:type="pct"/>
            <w:tcBorders>
              <w:top w:val="single" w:sz="4" w:space="0" w:color="auto"/>
            </w:tcBorders>
          </w:tcPr>
          <w:p w14:paraId="033C7040" w14:textId="77777777" w:rsidR="00E51C85" w:rsidRPr="00EE7169" w:rsidRDefault="00E51C85" w:rsidP="00870AEB">
            <w:pPr>
              <w:autoSpaceDE w:val="0"/>
              <w:autoSpaceDN w:val="0"/>
              <w:adjustRightInd w:val="0"/>
              <w:jc w:val="center"/>
              <w:rPr>
                <w:rFonts w:ascii="Garamond" w:hAnsi="Garamond"/>
                <w:kern w:val="0"/>
                <w:sz w:val="20"/>
                <w:szCs w:val="20"/>
              </w:rPr>
            </w:pPr>
          </w:p>
        </w:tc>
      </w:tr>
      <w:tr w:rsidR="00E51C85" w:rsidRPr="00EE7169" w14:paraId="31B2863A" w14:textId="40AAF302" w:rsidTr="00E51C85">
        <w:trPr>
          <w:jc w:val="center"/>
        </w:trPr>
        <w:tc>
          <w:tcPr>
            <w:tcW w:w="1040" w:type="pct"/>
            <w:vMerge/>
          </w:tcPr>
          <w:p w14:paraId="18558832"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2456B597" w14:textId="3499C0E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(0.0059)</w:t>
            </w:r>
          </w:p>
        </w:tc>
        <w:tc>
          <w:tcPr>
            <w:tcW w:w="583" w:type="pct"/>
          </w:tcPr>
          <w:p w14:paraId="2D812A03"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695" w:type="pct"/>
          </w:tcPr>
          <w:p w14:paraId="4F358BDB" w14:textId="14A6D08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(0.0189)</w:t>
            </w:r>
          </w:p>
        </w:tc>
        <w:tc>
          <w:tcPr>
            <w:tcW w:w="582" w:type="pct"/>
          </w:tcPr>
          <w:p w14:paraId="5443376F"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703" w:type="pct"/>
          </w:tcPr>
          <w:p w14:paraId="621B324F" w14:textId="66922C9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(0.0175)</w:t>
            </w:r>
          </w:p>
        </w:tc>
        <w:tc>
          <w:tcPr>
            <w:tcW w:w="702" w:type="pct"/>
          </w:tcPr>
          <w:p w14:paraId="79397090" w14:textId="77777777" w:rsidR="00E51C85" w:rsidRPr="00EE7169" w:rsidRDefault="00E51C85" w:rsidP="00870AEB">
            <w:pPr>
              <w:autoSpaceDE w:val="0"/>
              <w:autoSpaceDN w:val="0"/>
              <w:adjustRightInd w:val="0"/>
              <w:jc w:val="center"/>
              <w:rPr>
                <w:rFonts w:ascii="Garamond" w:hAnsi="Garamond"/>
                <w:kern w:val="0"/>
                <w:sz w:val="20"/>
                <w:szCs w:val="20"/>
              </w:rPr>
            </w:pPr>
          </w:p>
        </w:tc>
      </w:tr>
      <w:tr w:rsidR="00E51C85" w:rsidRPr="00EE7169" w14:paraId="79762B49" w14:textId="2BA0372E" w:rsidTr="00E51C85">
        <w:trPr>
          <w:jc w:val="center"/>
        </w:trPr>
        <w:tc>
          <w:tcPr>
            <w:tcW w:w="1040" w:type="pct"/>
            <w:vMerge w:val="restart"/>
            <w:hideMark/>
          </w:tcPr>
          <w:p w14:paraId="28D41DF0" w14:textId="143AFE05"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Firm asset</w:t>
            </w:r>
            <w:r w:rsidRPr="00EE7169">
              <w:rPr>
                <w:rFonts w:ascii="Garamond" w:hAnsi="Garamond"/>
                <w:kern w:val="0"/>
                <w:sz w:val="20"/>
                <w:szCs w:val="20"/>
                <w:vertAlign w:val="subscript"/>
              </w:rPr>
              <w:t xml:space="preserve"> (t-1)</w:t>
            </w:r>
          </w:p>
        </w:tc>
        <w:tc>
          <w:tcPr>
            <w:tcW w:w="695" w:type="pct"/>
          </w:tcPr>
          <w:p w14:paraId="6C8D42DF" w14:textId="3431699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-0.0045**</w:t>
            </w:r>
          </w:p>
        </w:tc>
        <w:tc>
          <w:tcPr>
            <w:tcW w:w="583" w:type="pct"/>
            <w:hideMark/>
          </w:tcPr>
          <w:p w14:paraId="024B582E" w14:textId="149D49E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0.1864***</w:t>
            </w:r>
          </w:p>
        </w:tc>
        <w:tc>
          <w:tcPr>
            <w:tcW w:w="695" w:type="pct"/>
          </w:tcPr>
          <w:p w14:paraId="1F82973B" w14:textId="5E9A847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-0.0044***</w:t>
            </w:r>
          </w:p>
        </w:tc>
        <w:tc>
          <w:tcPr>
            <w:tcW w:w="582" w:type="pct"/>
          </w:tcPr>
          <w:p w14:paraId="6FF086F4" w14:textId="68D79BC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0.0028</w:t>
            </w:r>
          </w:p>
        </w:tc>
        <w:tc>
          <w:tcPr>
            <w:tcW w:w="703" w:type="pct"/>
          </w:tcPr>
          <w:p w14:paraId="0BB655AC" w14:textId="10C54B2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-0.0031***</w:t>
            </w:r>
          </w:p>
        </w:tc>
        <w:tc>
          <w:tcPr>
            <w:tcW w:w="702" w:type="pct"/>
          </w:tcPr>
          <w:p w14:paraId="3C71A4B8" w14:textId="7BE1477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0.0028</w:t>
            </w:r>
          </w:p>
        </w:tc>
      </w:tr>
      <w:tr w:rsidR="00E51C85" w:rsidRPr="00EE7169" w14:paraId="7CEC3735" w14:textId="6EC90BD8" w:rsidTr="00E51C85">
        <w:trPr>
          <w:jc w:val="center"/>
        </w:trPr>
        <w:tc>
          <w:tcPr>
            <w:tcW w:w="1040" w:type="pct"/>
            <w:vMerge/>
          </w:tcPr>
          <w:p w14:paraId="4567780B"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2D7526D2" w14:textId="4218478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(0.0017)</w:t>
            </w:r>
          </w:p>
        </w:tc>
        <w:tc>
          <w:tcPr>
            <w:tcW w:w="583" w:type="pct"/>
            <w:hideMark/>
          </w:tcPr>
          <w:p w14:paraId="025F248E" w14:textId="1935701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(0.0216)</w:t>
            </w:r>
          </w:p>
        </w:tc>
        <w:tc>
          <w:tcPr>
            <w:tcW w:w="695" w:type="pct"/>
          </w:tcPr>
          <w:p w14:paraId="1709FC08" w14:textId="327FC1A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(0.0016)</w:t>
            </w:r>
          </w:p>
        </w:tc>
        <w:tc>
          <w:tcPr>
            <w:tcW w:w="582" w:type="pct"/>
          </w:tcPr>
          <w:p w14:paraId="75168B55" w14:textId="6A355C3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(0.0135)</w:t>
            </w:r>
          </w:p>
        </w:tc>
        <w:tc>
          <w:tcPr>
            <w:tcW w:w="703" w:type="pct"/>
          </w:tcPr>
          <w:p w14:paraId="6841FE94" w14:textId="0C7FD62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(0.0010)</w:t>
            </w:r>
          </w:p>
        </w:tc>
        <w:tc>
          <w:tcPr>
            <w:tcW w:w="702" w:type="pct"/>
          </w:tcPr>
          <w:p w14:paraId="31D857FA" w14:textId="1F47974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(0.0135)</w:t>
            </w:r>
          </w:p>
        </w:tc>
      </w:tr>
      <w:tr w:rsidR="00E51C85" w:rsidRPr="00EE7169" w14:paraId="19C78971" w14:textId="53B3EB0F" w:rsidTr="00E51C85">
        <w:trPr>
          <w:jc w:val="center"/>
        </w:trPr>
        <w:tc>
          <w:tcPr>
            <w:tcW w:w="1040" w:type="pct"/>
            <w:vMerge w:val="restart"/>
            <w:hideMark/>
          </w:tcPr>
          <w:p w14:paraId="0D0EEBDC" w14:textId="618DB0C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ROS</w:t>
            </w:r>
            <w:r w:rsidRPr="00EE7169">
              <w:rPr>
                <w:rFonts w:ascii="Garamond" w:hAnsi="Garamond"/>
                <w:kern w:val="0"/>
                <w:sz w:val="20"/>
                <w:szCs w:val="20"/>
                <w:vertAlign w:val="subscript"/>
              </w:rPr>
              <w:t xml:space="preserve"> (t-1)</w:t>
            </w:r>
          </w:p>
        </w:tc>
        <w:tc>
          <w:tcPr>
            <w:tcW w:w="695" w:type="pct"/>
          </w:tcPr>
          <w:p w14:paraId="107B174A" w14:textId="4261822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-0.0060**</w:t>
            </w:r>
          </w:p>
        </w:tc>
        <w:tc>
          <w:tcPr>
            <w:tcW w:w="583" w:type="pct"/>
            <w:hideMark/>
          </w:tcPr>
          <w:p w14:paraId="5D39267B" w14:textId="622E923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0.3160***</w:t>
            </w:r>
          </w:p>
        </w:tc>
        <w:tc>
          <w:tcPr>
            <w:tcW w:w="695" w:type="pct"/>
          </w:tcPr>
          <w:p w14:paraId="74862A27" w14:textId="1C1F926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-0.0059**</w:t>
            </w:r>
          </w:p>
        </w:tc>
        <w:tc>
          <w:tcPr>
            <w:tcW w:w="582" w:type="pct"/>
          </w:tcPr>
          <w:p w14:paraId="5A0C0278" w14:textId="024167B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0.0504***</w:t>
            </w:r>
          </w:p>
        </w:tc>
        <w:tc>
          <w:tcPr>
            <w:tcW w:w="703" w:type="pct"/>
          </w:tcPr>
          <w:p w14:paraId="45B30621" w14:textId="18830AA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-0.0050**</w:t>
            </w:r>
          </w:p>
        </w:tc>
        <w:tc>
          <w:tcPr>
            <w:tcW w:w="702" w:type="pct"/>
          </w:tcPr>
          <w:p w14:paraId="384D851A" w14:textId="763BB72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0.0504***</w:t>
            </w:r>
          </w:p>
        </w:tc>
      </w:tr>
      <w:tr w:rsidR="00E51C85" w:rsidRPr="00EE7169" w14:paraId="57092DE1" w14:textId="10F80A71" w:rsidTr="00E51C85">
        <w:trPr>
          <w:jc w:val="center"/>
        </w:trPr>
        <w:tc>
          <w:tcPr>
            <w:tcW w:w="1040" w:type="pct"/>
            <w:vMerge/>
          </w:tcPr>
          <w:p w14:paraId="16F07158"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213906C6" w14:textId="66A0618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(0.0024)</w:t>
            </w:r>
          </w:p>
        </w:tc>
        <w:tc>
          <w:tcPr>
            <w:tcW w:w="583" w:type="pct"/>
            <w:hideMark/>
          </w:tcPr>
          <w:p w14:paraId="23C5B08D" w14:textId="31427E0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(0.0377)</w:t>
            </w:r>
          </w:p>
        </w:tc>
        <w:tc>
          <w:tcPr>
            <w:tcW w:w="695" w:type="pct"/>
          </w:tcPr>
          <w:p w14:paraId="7212C3CC" w14:textId="2235BF7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(0.0024)</w:t>
            </w:r>
          </w:p>
        </w:tc>
        <w:tc>
          <w:tcPr>
            <w:tcW w:w="582" w:type="pct"/>
          </w:tcPr>
          <w:p w14:paraId="54EE5A40" w14:textId="02FDF63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(0.0144)</w:t>
            </w:r>
          </w:p>
        </w:tc>
        <w:tc>
          <w:tcPr>
            <w:tcW w:w="703" w:type="pct"/>
          </w:tcPr>
          <w:p w14:paraId="72811A2B" w14:textId="6BEE25E3" w:rsidR="00E51C85" w:rsidRPr="00EE7169" w:rsidRDefault="00E51C85" w:rsidP="005666CD">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(0.0021)</w:t>
            </w:r>
          </w:p>
        </w:tc>
        <w:tc>
          <w:tcPr>
            <w:tcW w:w="702" w:type="pct"/>
          </w:tcPr>
          <w:p w14:paraId="16B55C48" w14:textId="2A3063B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(0.0144)</w:t>
            </w:r>
          </w:p>
        </w:tc>
      </w:tr>
      <w:tr w:rsidR="00E51C85" w:rsidRPr="00EE7169" w14:paraId="62D93BBB" w14:textId="46A1F7B8" w:rsidTr="00E51C85">
        <w:trPr>
          <w:jc w:val="center"/>
        </w:trPr>
        <w:tc>
          <w:tcPr>
            <w:tcW w:w="1040" w:type="pct"/>
            <w:vMerge w:val="restart"/>
            <w:hideMark/>
          </w:tcPr>
          <w:p w14:paraId="1631E868" w14:textId="52CDD013"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Firm importance</w:t>
            </w:r>
            <w:r w:rsidRPr="00EE7169">
              <w:rPr>
                <w:rFonts w:ascii="Garamond" w:hAnsi="Garamond"/>
                <w:kern w:val="0"/>
                <w:sz w:val="20"/>
                <w:szCs w:val="20"/>
                <w:vertAlign w:val="subscript"/>
              </w:rPr>
              <w:t xml:space="preserve"> (t-1)</w:t>
            </w:r>
          </w:p>
        </w:tc>
        <w:tc>
          <w:tcPr>
            <w:tcW w:w="695" w:type="pct"/>
          </w:tcPr>
          <w:p w14:paraId="13ADA531" w14:textId="4433CC8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0.0204*</w:t>
            </w:r>
          </w:p>
        </w:tc>
        <w:tc>
          <w:tcPr>
            <w:tcW w:w="583" w:type="pct"/>
            <w:hideMark/>
          </w:tcPr>
          <w:p w14:paraId="07A70040" w14:textId="6703319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-2.6195***</w:t>
            </w:r>
          </w:p>
        </w:tc>
        <w:tc>
          <w:tcPr>
            <w:tcW w:w="695" w:type="pct"/>
          </w:tcPr>
          <w:p w14:paraId="2CC15A9D" w14:textId="63DC8F1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-0.0013</w:t>
            </w:r>
          </w:p>
        </w:tc>
        <w:tc>
          <w:tcPr>
            <w:tcW w:w="582" w:type="pct"/>
          </w:tcPr>
          <w:p w14:paraId="10BDF7D4" w14:textId="1F6AA57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-0.1162***</w:t>
            </w:r>
          </w:p>
        </w:tc>
        <w:tc>
          <w:tcPr>
            <w:tcW w:w="703" w:type="pct"/>
          </w:tcPr>
          <w:p w14:paraId="71AEA61A" w14:textId="1D6D11E9" w:rsidR="00E51C85" w:rsidRPr="00EE7169" w:rsidRDefault="00E51C85" w:rsidP="005666CD">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0.0019</w:t>
            </w:r>
          </w:p>
        </w:tc>
        <w:tc>
          <w:tcPr>
            <w:tcW w:w="702" w:type="pct"/>
          </w:tcPr>
          <w:p w14:paraId="4EA92536" w14:textId="7C54C93E"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-0.1162***</w:t>
            </w:r>
          </w:p>
        </w:tc>
      </w:tr>
      <w:tr w:rsidR="00E51C85" w:rsidRPr="00EE7169" w14:paraId="5840008A" w14:textId="4A055A83" w:rsidTr="00E51C85">
        <w:trPr>
          <w:jc w:val="center"/>
        </w:trPr>
        <w:tc>
          <w:tcPr>
            <w:tcW w:w="1040" w:type="pct"/>
            <w:vMerge/>
          </w:tcPr>
          <w:p w14:paraId="42D56C38"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10A580C8" w14:textId="03C1ACC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(0.0122)</w:t>
            </w:r>
          </w:p>
        </w:tc>
        <w:tc>
          <w:tcPr>
            <w:tcW w:w="583" w:type="pct"/>
            <w:hideMark/>
          </w:tcPr>
          <w:p w14:paraId="384A235E" w14:textId="0913E60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(0.1458)</w:t>
            </w:r>
          </w:p>
        </w:tc>
        <w:tc>
          <w:tcPr>
            <w:tcW w:w="695" w:type="pct"/>
          </w:tcPr>
          <w:p w14:paraId="0F3B9528" w14:textId="595AF94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(0.0047)</w:t>
            </w:r>
          </w:p>
        </w:tc>
        <w:tc>
          <w:tcPr>
            <w:tcW w:w="582" w:type="pct"/>
          </w:tcPr>
          <w:p w14:paraId="7BD5E85C" w14:textId="121B2A3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(0.0404)</w:t>
            </w:r>
          </w:p>
        </w:tc>
        <w:tc>
          <w:tcPr>
            <w:tcW w:w="703" w:type="pct"/>
          </w:tcPr>
          <w:p w14:paraId="7F8212A3" w14:textId="5BB9592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(0.0030)</w:t>
            </w:r>
          </w:p>
        </w:tc>
        <w:tc>
          <w:tcPr>
            <w:tcW w:w="702" w:type="pct"/>
          </w:tcPr>
          <w:p w14:paraId="4A6E41E2" w14:textId="709E940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(0.0404)</w:t>
            </w:r>
          </w:p>
        </w:tc>
      </w:tr>
      <w:tr w:rsidR="00E51C85" w:rsidRPr="00EE7169" w14:paraId="18B84A74" w14:textId="02E26355" w:rsidTr="00E51C85">
        <w:trPr>
          <w:jc w:val="center"/>
        </w:trPr>
        <w:tc>
          <w:tcPr>
            <w:tcW w:w="1040" w:type="pct"/>
            <w:vMerge w:val="restart"/>
            <w:hideMark/>
          </w:tcPr>
          <w:p w14:paraId="2A61965C" w14:textId="6AB6419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Fully state-owned</w:t>
            </w:r>
            <w:r w:rsidRPr="00EE7169">
              <w:rPr>
                <w:rFonts w:ascii="Garamond" w:hAnsi="Garamond"/>
                <w:kern w:val="0"/>
                <w:sz w:val="20"/>
                <w:szCs w:val="20"/>
                <w:vertAlign w:val="subscript"/>
              </w:rPr>
              <w:t xml:space="preserve"> (t-1)</w:t>
            </w:r>
          </w:p>
        </w:tc>
        <w:tc>
          <w:tcPr>
            <w:tcW w:w="695" w:type="pct"/>
          </w:tcPr>
          <w:p w14:paraId="7CD2144B" w14:textId="60315E9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-0.0079***</w:t>
            </w:r>
          </w:p>
        </w:tc>
        <w:tc>
          <w:tcPr>
            <w:tcW w:w="583" w:type="pct"/>
            <w:hideMark/>
          </w:tcPr>
          <w:p w14:paraId="22618F63" w14:textId="4960335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0.2003***</w:t>
            </w:r>
          </w:p>
        </w:tc>
        <w:tc>
          <w:tcPr>
            <w:tcW w:w="695" w:type="pct"/>
          </w:tcPr>
          <w:p w14:paraId="13C69279" w14:textId="372E28C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-0.0087*</w:t>
            </w:r>
          </w:p>
        </w:tc>
        <w:tc>
          <w:tcPr>
            <w:tcW w:w="582" w:type="pct"/>
          </w:tcPr>
          <w:p w14:paraId="43EDE6B3" w14:textId="00DF8D7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-0.0057</w:t>
            </w:r>
          </w:p>
        </w:tc>
        <w:tc>
          <w:tcPr>
            <w:tcW w:w="703" w:type="pct"/>
          </w:tcPr>
          <w:p w14:paraId="16B847C8" w14:textId="0EA1760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-0.0050***</w:t>
            </w:r>
          </w:p>
        </w:tc>
        <w:tc>
          <w:tcPr>
            <w:tcW w:w="702" w:type="pct"/>
          </w:tcPr>
          <w:p w14:paraId="42095A64" w14:textId="6338FDA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-0.0057</w:t>
            </w:r>
          </w:p>
        </w:tc>
      </w:tr>
      <w:tr w:rsidR="00E51C85" w:rsidRPr="00EE7169" w14:paraId="47239854" w14:textId="7BDD961A" w:rsidTr="00E51C85">
        <w:trPr>
          <w:jc w:val="center"/>
        </w:trPr>
        <w:tc>
          <w:tcPr>
            <w:tcW w:w="1040" w:type="pct"/>
            <w:vMerge/>
          </w:tcPr>
          <w:p w14:paraId="710D0D6B"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1CC8B470" w14:textId="5C26857D"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(0.0030)</w:t>
            </w:r>
          </w:p>
        </w:tc>
        <w:tc>
          <w:tcPr>
            <w:tcW w:w="583" w:type="pct"/>
            <w:hideMark/>
          </w:tcPr>
          <w:p w14:paraId="5ABEFC2F" w14:textId="2D505D9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(0.0719)</w:t>
            </w:r>
          </w:p>
        </w:tc>
        <w:tc>
          <w:tcPr>
            <w:tcW w:w="695" w:type="pct"/>
          </w:tcPr>
          <w:p w14:paraId="6BDD8C8F" w14:textId="1B4233D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(0.0045)</w:t>
            </w:r>
          </w:p>
        </w:tc>
        <w:tc>
          <w:tcPr>
            <w:tcW w:w="582" w:type="pct"/>
          </w:tcPr>
          <w:p w14:paraId="2D6642F6" w14:textId="55CCA33D"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(0.0238)</w:t>
            </w:r>
          </w:p>
        </w:tc>
        <w:tc>
          <w:tcPr>
            <w:tcW w:w="703" w:type="pct"/>
          </w:tcPr>
          <w:p w14:paraId="2BFB7C1A" w14:textId="1C688C4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(0.0018)</w:t>
            </w:r>
          </w:p>
        </w:tc>
        <w:tc>
          <w:tcPr>
            <w:tcW w:w="702" w:type="pct"/>
          </w:tcPr>
          <w:p w14:paraId="7ED46A3D" w14:textId="71D921C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(0.0238)</w:t>
            </w:r>
          </w:p>
        </w:tc>
      </w:tr>
      <w:tr w:rsidR="00E51C85" w:rsidRPr="00EE7169" w14:paraId="4BEA3324" w14:textId="35FC9DAC" w:rsidTr="00E51C85">
        <w:trPr>
          <w:jc w:val="center"/>
        </w:trPr>
        <w:tc>
          <w:tcPr>
            <w:tcW w:w="1040" w:type="pct"/>
            <w:vMerge w:val="restart"/>
            <w:hideMark/>
          </w:tcPr>
          <w:p w14:paraId="3B97BADD" w14:textId="13987E2E"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GDP per capita</w:t>
            </w:r>
            <w:r w:rsidRPr="00EE7169">
              <w:rPr>
                <w:rFonts w:ascii="Garamond" w:hAnsi="Garamond"/>
                <w:kern w:val="0"/>
                <w:sz w:val="20"/>
                <w:szCs w:val="20"/>
                <w:vertAlign w:val="subscript"/>
              </w:rPr>
              <w:t xml:space="preserve"> (t-1)</w:t>
            </w:r>
            <w:r w:rsidRPr="00EE7169">
              <w:rPr>
                <w:rFonts w:ascii="Garamond" w:hAnsi="Garamond"/>
                <w:kern w:val="0"/>
                <w:sz w:val="20"/>
                <w:szCs w:val="20"/>
              </w:rPr>
              <w:t xml:space="preserve"> </w:t>
            </w:r>
          </w:p>
        </w:tc>
        <w:tc>
          <w:tcPr>
            <w:tcW w:w="695" w:type="pct"/>
          </w:tcPr>
          <w:p w14:paraId="46E87CC9" w14:textId="6F88229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0.0090</w:t>
            </w:r>
          </w:p>
        </w:tc>
        <w:tc>
          <w:tcPr>
            <w:tcW w:w="583" w:type="pct"/>
          </w:tcPr>
          <w:p w14:paraId="60081651" w14:textId="2FD257FE"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0.5752</w:t>
            </w:r>
          </w:p>
        </w:tc>
        <w:tc>
          <w:tcPr>
            <w:tcW w:w="695" w:type="pct"/>
          </w:tcPr>
          <w:p w14:paraId="314CFF76" w14:textId="269F4D7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0.0553**</w:t>
            </w:r>
          </w:p>
        </w:tc>
        <w:tc>
          <w:tcPr>
            <w:tcW w:w="582" w:type="pct"/>
          </w:tcPr>
          <w:p w14:paraId="71F12A21" w14:textId="486B987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-1.2842**</w:t>
            </w:r>
          </w:p>
        </w:tc>
        <w:tc>
          <w:tcPr>
            <w:tcW w:w="703" w:type="pct"/>
          </w:tcPr>
          <w:p w14:paraId="2117BD42" w14:textId="31F1C7C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0.0432</w:t>
            </w:r>
          </w:p>
        </w:tc>
        <w:tc>
          <w:tcPr>
            <w:tcW w:w="702" w:type="pct"/>
          </w:tcPr>
          <w:p w14:paraId="37399E89" w14:textId="2389FA2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-1.2842**</w:t>
            </w:r>
          </w:p>
        </w:tc>
      </w:tr>
      <w:tr w:rsidR="00E51C85" w:rsidRPr="00EE7169" w14:paraId="16D2B1C7" w14:textId="3883B973" w:rsidTr="00E51C85">
        <w:trPr>
          <w:jc w:val="center"/>
        </w:trPr>
        <w:tc>
          <w:tcPr>
            <w:tcW w:w="1040" w:type="pct"/>
            <w:vMerge/>
          </w:tcPr>
          <w:p w14:paraId="72B8CF5B"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36F7C9C0" w14:textId="4A4E9F7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(0.0400)</w:t>
            </w:r>
          </w:p>
        </w:tc>
        <w:tc>
          <w:tcPr>
            <w:tcW w:w="583" w:type="pct"/>
          </w:tcPr>
          <w:p w14:paraId="5B038F9C" w14:textId="15DD267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(0.5234)</w:t>
            </w:r>
          </w:p>
        </w:tc>
        <w:tc>
          <w:tcPr>
            <w:tcW w:w="695" w:type="pct"/>
          </w:tcPr>
          <w:p w14:paraId="32A92ABD" w14:textId="62C5A71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(0.0276)</w:t>
            </w:r>
          </w:p>
        </w:tc>
        <w:tc>
          <w:tcPr>
            <w:tcW w:w="582" w:type="pct"/>
          </w:tcPr>
          <w:p w14:paraId="1ED9710D" w14:textId="53A8C3B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(0.5223)</w:t>
            </w:r>
          </w:p>
        </w:tc>
        <w:tc>
          <w:tcPr>
            <w:tcW w:w="703" w:type="pct"/>
          </w:tcPr>
          <w:p w14:paraId="53A14006" w14:textId="7F4D9FD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(0.0289)</w:t>
            </w:r>
          </w:p>
        </w:tc>
        <w:tc>
          <w:tcPr>
            <w:tcW w:w="702" w:type="pct"/>
          </w:tcPr>
          <w:p w14:paraId="306E35CA" w14:textId="5FFA3C3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(0.5223)</w:t>
            </w:r>
          </w:p>
        </w:tc>
      </w:tr>
      <w:tr w:rsidR="00E51C85" w:rsidRPr="00EE7169" w14:paraId="32F4B54B" w14:textId="0F124507" w:rsidTr="00E51C85">
        <w:trPr>
          <w:jc w:val="center"/>
        </w:trPr>
        <w:tc>
          <w:tcPr>
            <w:tcW w:w="1040" w:type="pct"/>
            <w:vMerge w:val="restart"/>
          </w:tcPr>
          <w:p w14:paraId="2BFADFA8" w14:textId="55FB8CA8"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State sector share</w:t>
            </w:r>
            <w:r w:rsidRPr="00EE7169">
              <w:rPr>
                <w:rFonts w:ascii="Garamond" w:hAnsi="Garamond"/>
                <w:kern w:val="0"/>
                <w:sz w:val="20"/>
                <w:szCs w:val="20"/>
                <w:vertAlign w:val="subscript"/>
              </w:rPr>
              <w:t xml:space="preserve"> (t-1)</w:t>
            </w:r>
          </w:p>
        </w:tc>
        <w:tc>
          <w:tcPr>
            <w:tcW w:w="695" w:type="pct"/>
          </w:tcPr>
          <w:p w14:paraId="52630AFE" w14:textId="5C2DDCF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0.0848</w:t>
            </w:r>
          </w:p>
        </w:tc>
        <w:tc>
          <w:tcPr>
            <w:tcW w:w="583" w:type="pct"/>
          </w:tcPr>
          <w:p w14:paraId="3CA99FBF" w14:textId="1D87C15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-0.7283</w:t>
            </w:r>
          </w:p>
        </w:tc>
        <w:tc>
          <w:tcPr>
            <w:tcW w:w="695" w:type="pct"/>
          </w:tcPr>
          <w:p w14:paraId="52622453" w14:textId="0C6A69C8"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0.0850</w:t>
            </w:r>
          </w:p>
        </w:tc>
        <w:tc>
          <w:tcPr>
            <w:tcW w:w="582" w:type="pct"/>
          </w:tcPr>
          <w:p w14:paraId="1A185800" w14:textId="6968C6A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-1.6849</w:t>
            </w:r>
          </w:p>
        </w:tc>
        <w:tc>
          <w:tcPr>
            <w:tcW w:w="703" w:type="pct"/>
          </w:tcPr>
          <w:p w14:paraId="72950CE3" w14:textId="1DE4277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0.0579</w:t>
            </w:r>
          </w:p>
        </w:tc>
        <w:tc>
          <w:tcPr>
            <w:tcW w:w="702" w:type="pct"/>
          </w:tcPr>
          <w:p w14:paraId="4AEECB53" w14:textId="54CA461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-1.6849</w:t>
            </w:r>
          </w:p>
        </w:tc>
      </w:tr>
      <w:tr w:rsidR="00E51C85" w:rsidRPr="00EE7169" w14:paraId="3B0B3B65" w14:textId="45FB0851" w:rsidTr="00E51C85">
        <w:trPr>
          <w:jc w:val="center"/>
        </w:trPr>
        <w:tc>
          <w:tcPr>
            <w:tcW w:w="1040" w:type="pct"/>
            <w:vMerge/>
          </w:tcPr>
          <w:p w14:paraId="70DBC80C"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3A967157" w14:textId="1980302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(0.05748)</w:t>
            </w:r>
          </w:p>
        </w:tc>
        <w:tc>
          <w:tcPr>
            <w:tcW w:w="583" w:type="pct"/>
          </w:tcPr>
          <w:p w14:paraId="3886EF8C" w14:textId="29188BF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(0.9390)</w:t>
            </w:r>
          </w:p>
        </w:tc>
        <w:tc>
          <w:tcPr>
            <w:tcW w:w="695" w:type="pct"/>
          </w:tcPr>
          <w:p w14:paraId="2BA098A4" w14:textId="7399692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(0.0696)</w:t>
            </w:r>
          </w:p>
        </w:tc>
        <w:tc>
          <w:tcPr>
            <w:tcW w:w="582" w:type="pct"/>
          </w:tcPr>
          <w:p w14:paraId="4B0C89B1" w14:textId="5F62F1E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(1.4856)</w:t>
            </w:r>
          </w:p>
        </w:tc>
        <w:tc>
          <w:tcPr>
            <w:tcW w:w="703" w:type="pct"/>
          </w:tcPr>
          <w:p w14:paraId="6859AD06" w14:textId="6EEF95A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(0.0645)</w:t>
            </w:r>
          </w:p>
        </w:tc>
        <w:tc>
          <w:tcPr>
            <w:tcW w:w="702" w:type="pct"/>
          </w:tcPr>
          <w:p w14:paraId="4A7AEB1C" w14:textId="784C20F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(1.4856)</w:t>
            </w:r>
          </w:p>
        </w:tc>
      </w:tr>
      <w:tr w:rsidR="00E51C85" w:rsidRPr="00EE7169" w14:paraId="44DDD6A3" w14:textId="689A6949" w:rsidTr="00E51C85">
        <w:trPr>
          <w:jc w:val="center"/>
        </w:trPr>
        <w:tc>
          <w:tcPr>
            <w:tcW w:w="1040" w:type="pct"/>
            <w:vMerge w:val="restart"/>
          </w:tcPr>
          <w:p w14:paraId="38F26157" w14:textId="4EA7983F"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Unemployment rate</w:t>
            </w:r>
            <w:r w:rsidRPr="00EE7169">
              <w:rPr>
                <w:rFonts w:ascii="Garamond" w:hAnsi="Garamond"/>
                <w:kern w:val="0"/>
                <w:sz w:val="20"/>
                <w:szCs w:val="20"/>
                <w:vertAlign w:val="subscript"/>
              </w:rPr>
              <w:t>(t-1)</w:t>
            </w:r>
          </w:p>
        </w:tc>
        <w:tc>
          <w:tcPr>
            <w:tcW w:w="695" w:type="pct"/>
          </w:tcPr>
          <w:p w14:paraId="458D23AB" w14:textId="5AA712A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-0.0023</w:t>
            </w:r>
          </w:p>
        </w:tc>
        <w:tc>
          <w:tcPr>
            <w:tcW w:w="583" w:type="pct"/>
          </w:tcPr>
          <w:p w14:paraId="529E2186" w14:textId="0A38134D"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0.0310</w:t>
            </w:r>
          </w:p>
        </w:tc>
        <w:tc>
          <w:tcPr>
            <w:tcW w:w="695" w:type="pct"/>
          </w:tcPr>
          <w:p w14:paraId="1778F9AF" w14:textId="71E604F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-0.0166*</w:t>
            </w:r>
          </w:p>
        </w:tc>
        <w:tc>
          <w:tcPr>
            <w:tcW w:w="582" w:type="pct"/>
          </w:tcPr>
          <w:p w14:paraId="170F668C" w14:textId="2058D1AB"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0.4420*</w:t>
            </w:r>
          </w:p>
        </w:tc>
        <w:tc>
          <w:tcPr>
            <w:tcW w:w="703" w:type="pct"/>
          </w:tcPr>
          <w:p w14:paraId="33DE5640" w14:textId="1B98CD7E"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-0.0094</w:t>
            </w:r>
          </w:p>
        </w:tc>
        <w:tc>
          <w:tcPr>
            <w:tcW w:w="702" w:type="pct"/>
          </w:tcPr>
          <w:p w14:paraId="06C606BD" w14:textId="50100BB3"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0.4420*</w:t>
            </w:r>
          </w:p>
        </w:tc>
      </w:tr>
      <w:tr w:rsidR="00E51C85" w:rsidRPr="00EE7169" w14:paraId="325AFF1F" w14:textId="75FD45BE" w:rsidTr="00E51C85">
        <w:trPr>
          <w:jc w:val="center"/>
        </w:trPr>
        <w:tc>
          <w:tcPr>
            <w:tcW w:w="1040" w:type="pct"/>
            <w:vMerge/>
          </w:tcPr>
          <w:p w14:paraId="0D7FF386" w14:textId="77777777"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p>
        </w:tc>
        <w:tc>
          <w:tcPr>
            <w:tcW w:w="695" w:type="pct"/>
          </w:tcPr>
          <w:p w14:paraId="00AE1A06" w14:textId="22F7393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(0.0036)</w:t>
            </w:r>
          </w:p>
        </w:tc>
        <w:tc>
          <w:tcPr>
            <w:tcW w:w="583" w:type="pct"/>
          </w:tcPr>
          <w:p w14:paraId="32291074" w14:textId="4004248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(0.0734)</w:t>
            </w:r>
          </w:p>
        </w:tc>
        <w:tc>
          <w:tcPr>
            <w:tcW w:w="695" w:type="pct"/>
          </w:tcPr>
          <w:p w14:paraId="6C68F56D" w14:textId="0A705C7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(0.0094)</w:t>
            </w:r>
          </w:p>
        </w:tc>
        <w:tc>
          <w:tcPr>
            <w:tcW w:w="582" w:type="pct"/>
          </w:tcPr>
          <w:p w14:paraId="119C404A" w14:textId="13984F2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(0.2284)</w:t>
            </w:r>
          </w:p>
        </w:tc>
        <w:tc>
          <w:tcPr>
            <w:tcW w:w="703" w:type="pct"/>
          </w:tcPr>
          <w:p w14:paraId="4F96FC54" w14:textId="129DC35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(0.0100)</w:t>
            </w:r>
          </w:p>
        </w:tc>
        <w:tc>
          <w:tcPr>
            <w:tcW w:w="702" w:type="pct"/>
          </w:tcPr>
          <w:p w14:paraId="10697600" w14:textId="495AECD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(0.2284)</w:t>
            </w:r>
          </w:p>
        </w:tc>
      </w:tr>
      <w:tr w:rsidR="00E51C85" w:rsidRPr="00EE7169" w14:paraId="7F5207D7" w14:textId="38E087BC" w:rsidTr="00E51C85">
        <w:trPr>
          <w:jc w:val="center"/>
        </w:trPr>
        <w:tc>
          <w:tcPr>
            <w:tcW w:w="1040" w:type="pct"/>
            <w:vMerge w:val="restart"/>
            <w:hideMark/>
          </w:tcPr>
          <w:p w14:paraId="67FA107E" w14:textId="2C93DC15" w:rsidR="00E51C85" w:rsidRPr="00EE7169" w:rsidRDefault="00E51C85" w:rsidP="001F3CC0">
            <w:pPr>
              <w:autoSpaceDE w:val="0"/>
              <w:autoSpaceDN w:val="0"/>
              <w:adjustRightInd w:val="0"/>
              <w:ind w:left="228" w:hangingChars="114" w:hanging="228"/>
              <w:jc w:val="left"/>
              <w:rPr>
                <w:rFonts w:ascii="Garamond" w:hAnsi="Garamond"/>
                <w:kern w:val="0"/>
                <w:sz w:val="20"/>
                <w:szCs w:val="20"/>
              </w:rPr>
            </w:pPr>
            <w:r w:rsidRPr="00EE7169">
              <w:rPr>
                <w:rFonts w:ascii="Garamond" w:hAnsi="Garamond"/>
                <w:kern w:val="0"/>
                <w:sz w:val="20"/>
                <w:szCs w:val="20"/>
              </w:rPr>
              <w:t xml:space="preserve">Third front firm </w:t>
            </w:r>
          </w:p>
        </w:tc>
        <w:tc>
          <w:tcPr>
            <w:tcW w:w="695" w:type="pct"/>
          </w:tcPr>
          <w:p w14:paraId="7F578F81"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3" w:type="pct"/>
            <w:hideMark/>
          </w:tcPr>
          <w:p w14:paraId="5D2950FB" w14:textId="1B811C2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0.4684***</w:t>
            </w:r>
          </w:p>
        </w:tc>
        <w:tc>
          <w:tcPr>
            <w:tcW w:w="695" w:type="pct"/>
          </w:tcPr>
          <w:p w14:paraId="1514969C"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2" w:type="pct"/>
          </w:tcPr>
          <w:p w14:paraId="51E2A7F3" w14:textId="5521195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0.1913**</w:t>
            </w:r>
          </w:p>
        </w:tc>
        <w:tc>
          <w:tcPr>
            <w:tcW w:w="703" w:type="pct"/>
          </w:tcPr>
          <w:p w14:paraId="35D4A69C"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702" w:type="pct"/>
          </w:tcPr>
          <w:p w14:paraId="18C417CF" w14:textId="403CDBF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0.1913**</w:t>
            </w:r>
          </w:p>
        </w:tc>
      </w:tr>
      <w:tr w:rsidR="00E51C85" w:rsidRPr="00EE7169" w14:paraId="54FE48ED" w14:textId="35D211E1" w:rsidTr="00E51C85">
        <w:trPr>
          <w:jc w:val="center"/>
        </w:trPr>
        <w:tc>
          <w:tcPr>
            <w:tcW w:w="1040" w:type="pct"/>
            <w:vMerge/>
          </w:tcPr>
          <w:p w14:paraId="0903B8E5" w14:textId="77777777" w:rsidR="00E51C85" w:rsidRPr="00EE7169" w:rsidRDefault="00E51C85" w:rsidP="00533A69">
            <w:pPr>
              <w:autoSpaceDE w:val="0"/>
              <w:autoSpaceDN w:val="0"/>
              <w:adjustRightInd w:val="0"/>
              <w:jc w:val="left"/>
              <w:rPr>
                <w:rFonts w:ascii="Garamond" w:hAnsi="Garamond"/>
                <w:kern w:val="0"/>
                <w:sz w:val="20"/>
                <w:szCs w:val="20"/>
              </w:rPr>
            </w:pPr>
          </w:p>
        </w:tc>
        <w:tc>
          <w:tcPr>
            <w:tcW w:w="695" w:type="pct"/>
          </w:tcPr>
          <w:p w14:paraId="6ED8F158"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3" w:type="pct"/>
            <w:hideMark/>
          </w:tcPr>
          <w:p w14:paraId="13AFBA1A" w14:textId="7F838721"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(0.1089)</w:t>
            </w:r>
          </w:p>
        </w:tc>
        <w:tc>
          <w:tcPr>
            <w:tcW w:w="695" w:type="pct"/>
          </w:tcPr>
          <w:p w14:paraId="5783381B"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2" w:type="pct"/>
          </w:tcPr>
          <w:p w14:paraId="600C5AA5" w14:textId="71D5920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(0.0869)</w:t>
            </w:r>
          </w:p>
        </w:tc>
        <w:tc>
          <w:tcPr>
            <w:tcW w:w="703" w:type="pct"/>
          </w:tcPr>
          <w:p w14:paraId="70538A55"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702" w:type="pct"/>
          </w:tcPr>
          <w:p w14:paraId="5704A89F" w14:textId="79CF166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(0.0869)</w:t>
            </w:r>
          </w:p>
        </w:tc>
      </w:tr>
      <w:tr w:rsidR="00E51C85" w:rsidRPr="00EE7169" w14:paraId="0C4FEFDB" w14:textId="68C5CB54" w:rsidTr="00E51C85">
        <w:trPr>
          <w:jc w:val="center"/>
        </w:trPr>
        <w:tc>
          <w:tcPr>
            <w:tcW w:w="1040" w:type="pct"/>
          </w:tcPr>
          <w:p w14:paraId="1D1F9196" w14:textId="45A50DE7" w:rsidR="00E51C85" w:rsidRPr="00EE7169" w:rsidRDefault="00E51C85" w:rsidP="000F1023">
            <w:pPr>
              <w:autoSpaceDE w:val="0"/>
              <w:autoSpaceDN w:val="0"/>
              <w:adjustRightInd w:val="0"/>
              <w:jc w:val="left"/>
              <w:rPr>
                <w:rFonts w:ascii="Garamond" w:hAnsi="Garamond"/>
                <w:kern w:val="0"/>
                <w:sz w:val="20"/>
                <w:szCs w:val="20"/>
              </w:rPr>
            </w:pPr>
            <w:r w:rsidRPr="00EE7169">
              <w:rPr>
                <w:rFonts w:ascii="Garamond" w:hAnsi="Garamond"/>
                <w:kern w:val="0"/>
                <w:sz w:val="20"/>
                <w:szCs w:val="20"/>
              </w:rPr>
              <w:t>Oversight government dummies</w:t>
            </w:r>
          </w:p>
        </w:tc>
        <w:tc>
          <w:tcPr>
            <w:tcW w:w="695" w:type="pct"/>
          </w:tcPr>
          <w:p w14:paraId="5F20E202" w14:textId="73E3E6DC" w:rsidR="00E51C85" w:rsidRPr="00EE7169" w:rsidRDefault="00E51C85" w:rsidP="00870AEB">
            <w:pPr>
              <w:autoSpaceDE w:val="0"/>
              <w:autoSpaceDN w:val="0"/>
              <w:adjustRightInd w:val="0"/>
              <w:jc w:val="center"/>
              <w:rPr>
                <w:rFonts w:ascii="Garamond" w:hAnsi="Garamond"/>
                <w:kern w:val="0"/>
                <w:sz w:val="20"/>
                <w:szCs w:val="20"/>
              </w:rPr>
            </w:pPr>
          </w:p>
        </w:tc>
        <w:tc>
          <w:tcPr>
            <w:tcW w:w="583" w:type="pct"/>
          </w:tcPr>
          <w:p w14:paraId="0B8B619D" w14:textId="091C7917" w:rsidR="00E51C85" w:rsidRPr="00EE7169" w:rsidRDefault="00E51C85" w:rsidP="00870AEB">
            <w:pPr>
              <w:autoSpaceDE w:val="0"/>
              <w:autoSpaceDN w:val="0"/>
              <w:adjustRightInd w:val="0"/>
              <w:jc w:val="center"/>
              <w:rPr>
                <w:rFonts w:ascii="Garamond" w:hAnsi="Garamond"/>
                <w:kern w:val="0"/>
                <w:sz w:val="20"/>
                <w:szCs w:val="20"/>
              </w:rPr>
            </w:pPr>
          </w:p>
        </w:tc>
        <w:tc>
          <w:tcPr>
            <w:tcW w:w="695" w:type="pct"/>
          </w:tcPr>
          <w:p w14:paraId="7D2C7350" w14:textId="294F8FE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82" w:type="pct"/>
          </w:tcPr>
          <w:p w14:paraId="2D50B581" w14:textId="6C4F57EB"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703" w:type="pct"/>
          </w:tcPr>
          <w:p w14:paraId="1A75346E" w14:textId="189B437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702" w:type="pct"/>
          </w:tcPr>
          <w:p w14:paraId="0716411E" w14:textId="1776E73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r>
      <w:tr w:rsidR="00E51C85" w:rsidRPr="00EE7169" w14:paraId="6C179CCC" w14:textId="7BCCC914" w:rsidTr="00E51C85">
        <w:trPr>
          <w:jc w:val="center"/>
        </w:trPr>
        <w:tc>
          <w:tcPr>
            <w:tcW w:w="1040" w:type="pct"/>
          </w:tcPr>
          <w:p w14:paraId="445D8156" w14:textId="30AD3C2C" w:rsidR="00E51C85" w:rsidRPr="00EE7169" w:rsidRDefault="00E51C85" w:rsidP="00533A69">
            <w:pPr>
              <w:autoSpaceDE w:val="0"/>
              <w:autoSpaceDN w:val="0"/>
              <w:adjustRightInd w:val="0"/>
              <w:jc w:val="left"/>
              <w:rPr>
                <w:rFonts w:ascii="Garamond" w:hAnsi="Garamond"/>
                <w:kern w:val="0"/>
                <w:sz w:val="20"/>
                <w:szCs w:val="20"/>
              </w:rPr>
            </w:pPr>
            <w:r w:rsidRPr="00EE7169">
              <w:rPr>
                <w:rFonts w:ascii="Garamond" w:hAnsi="Garamond"/>
                <w:kern w:val="0"/>
                <w:sz w:val="20"/>
                <w:szCs w:val="20"/>
              </w:rPr>
              <w:t>Year dummies</w:t>
            </w:r>
          </w:p>
        </w:tc>
        <w:tc>
          <w:tcPr>
            <w:tcW w:w="695" w:type="pct"/>
          </w:tcPr>
          <w:p w14:paraId="52379463" w14:textId="4A4662E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83" w:type="pct"/>
          </w:tcPr>
          <w:p w14:paraId="39447321" w14:textId="608E9CD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695" w:type="pct"/>
          </w:tcPr>
          <w:p w14:paraId="120198AD" w14:textId="3AECC08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82" w:type="pct"/>
          </w:tcPr>
          <w:p w14:paraId="624AD699" w14:textId="27A2623E"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703" w:type="pct"/>
          </w:tcPr>
          <w:p w14:paraId="646BD23A" w14:textId="4792214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702" w:type="pct"/>
          </w:tcPr>
          <w:p w14:paraId="7A4AF268" w14:textId="4C13358C"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r>
      <w:tr w:rsidR="00E51C85" w:rsidRPr="00EE7169" w14:paraId="306A3DB8" w14:textId="77777777" w:rsidTr="00E51C85">
        <w:trPr>
          <w:jc w:val="center"/>
        </w:trPr>
        <w:tc>
          <w:tcPr>
            <w:tcW w:w="1040" w:type="pct"/>
          </w:tcPr>
          <w:p w14:paraId="46EB4317" w14:textId="76CE7CA7" w:rsidR="00E51C85" w:rsidRPr="00EE7169" w:rsidRDefault="00E51C85" w:rsidP="00533A69">
            <w:pPr>
              <w:autoSpaceDE w:val="0"/>
              <w:autoSpaceDN w:val="0"/>
              <w:adjustRightInd w:val="0"/>
              <w:jc w:val="left"/>
              <w:rPr>
                <w:rFonts w:ascii="Garamond" w:hAnsi="Garamond"/>
                <w:kern w:val="0"/>
                <w:sz w:val="20"/>
                <w:szCs w:val="20"/>
              </w:rPr>
            </w:pPr>
            <w:r w:rsidRPr="00EE7169">
              <w:rPr>
                <w:rFonts w:ascii="Garamond" w:hAnsi="Garamond"/>
                <w:kern w:val="0"/>
                <w:sz w:val="20"/>
                <w:szCs w:val="20"/>
              </w:rPr>
              <w:t>Province dummies</w:t>
            </w:r>
          </w:p>
        </w:tc>
        <w:tc>
          <w:tcPr>
            <w:tcW w:w="695" w:type="pct"/>
          </w:tcPr>
          <w:p w14:paraId="4A799662" w14:textId="5A22FE47"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83" w:type="pct"/>
          </w:tcPr>
          <w:p w14:paraId="358AFCF4" w14:textId="0B81C968"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695" w:type="pct"/>
          </w:tcPr>
          <w:p w14:paraId="3016DDD4"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2" w:type="pct"/>
          </w:tcPr>
          <w:p w14:paraId="7848E8E7"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703" w:type="pct"/>
          </w:tcPr>
          <w:p w14:paraId="201BCC6C" w14:textId="6B844C2A" w:rsidR="00E51C85" w:rsidRPr="00EE7169" w:rsidRDefault="00E51C85" w:rsidP="00870AEB">
            <w:pPr>
              <w:autoSpaceDE w:val="0"/>
              <w:autoSpaceDN w:val="0"/>
              <w:adjustRightInd w:val="0"/>
              <w:jc w:val="center"/>
              <w:rPr>
                <w:rFonts w:ascii="Garamond" w:hAnsi="Garamond"/>
                <w:kern w:val="0"/>
                <w:sz w:val="20"/>
                <w:szCs w:val="20"/>
              </w:rPr>
            </w:pPr>
          </w:p>
        </w:tc>
        <w:tc>
          <w:tcPr>
            <w:tcW w:w="702" w:type="pct"/>
          </w:tcPr>
          <w:p w14:paraId="657E114A" w14:textId="17351C1D" w:rsidR="00E51C85" w:rsidRPr="00EE7169" w:rsidRDefault="00E51C85" w:rsidP="00870AEB">
            <w:pPr>
              <w:autoSpaceDE w:val="0"/>
              <w:autoSpaceDN w:val="0"/>
              <w:adjustRightInd w:val="0"/>
              <w:jc w:val="center"/>
              <w:rPr>
                <w:rFonts w:ascii="Garamond" w:hAnsi="Garamond"/>
                <w:kern w:val="0"/>
                <w:sz w:val="20"/>
                <w:szCs w:val="20"/>
              </w:rPr>
            </w:pPr>
          </w:p>
        </w:tc>
      </w:tr>
      <w:tr w:rsidR="00E51C85" w:rsidRPr="00EE7169" w14:paraId="63A9DF43" w14:textId="2842806F" w:rsidTr="00E51C85">
        <w:trPr>
          <w:jc w:val="center"/>
        </w:trPr>
        <w:tc>
          <w:tcPr>
            <w:tcW w:w="1040" w:type="pct"/>
            <w:tcBorders>
              <w:top w:val="nil"/>
              <w:left w:val="nil"/>
              <w:bottom w:val="nil"/>
              <w:right w:val="nil"/>
            </w:tcBorders>
            <w:hideMark/>
          </w:tcPr>
          <w:p w14:paraId="3A4095E6" w14:textId="77777777" w:rsidR="00E51C85" w:rsidRPr="00EE7169" w:rsidRDefault="00E51C85" w:rsidP="00533A69">
            <w:pPr>
              <w:autoSpaceDE w:val="0"/>
              <w:autoSpaceDN w:val="0"/>
              <w:adjustRightInd w:val="0"/>
              <w:jc w:val="left"/>
              <w:rPr>
                <w:rFonts w:ascii="Garamond" w:hAnsi="Garamond"/>
                <w:kern w:val="0"/>
                <w:sz w:val="20"/>
                <w:szCs w:val="20"/>
              </w:rPr>
            </w:pPr>
            <w:r w:rsidRPr="00EE7169">
              <w:rPr>
                <w:rFonts w:ascii="Garamond" w:hAnsi="Garamond"/>
                <w:kern w:val="0"/>
                <w:sz w:val="20"/>
                <w:szCs w:val="20"/>
              </w:rPr>
              <w:t>Observations</w:t>
            </w:r>
          </w:p>
        </w:tc>
        <w:tc>
          <w:tcPr>
            <w:tcW w:w="695" w:type="pct"/>
            <w:tcBorders>
              <w:top w:val="nil"/>
              <w:left w:val="nil"/>
              <w:bottom w:val="nil"/>
              <w:right w:val="nil"/>
            </w:tcBorders>
            <w:hideMark/>
          </w:tcPr>
          <w:p w14:paraId="5AC35E50" w14:textId="77319AA6"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56,700</w:t>
            </w:r>
          </w:p>
        </w:tc>
        <w:tc>
          <w:tcPr>
            <w:tcW w:w="583" w:type="pct"/>
            <w:tcBorders>
              <w:top w:val="nil"/>
              <w:left w:val="nil"/>
              <w:bottom w:val="nil"/>
              <w:right w:val="nil"/>
            </w:tcBorders>
            <w:hideMark/>
          </w:tcPr>
          <w:p w14:paraId="14060107" w14:textId="2E9BFB72"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56,700</w:t>
            </w:r>
          </w:p>
        </w:tc>
        <w:tc>
          <w:tcPr>
            <w:tcW w:w="695" w:type="pct"/>
            <w:tcBorders>
              <w:top w:val="nil"/>
              <w:left w:val="nil"/>
              <w:bottom w:val="nil"/>
              <w:right w:val="nil"/>
            </w:tcBorders>
          </w:tcPr>
          <w:p w14:paraId="4562147A" w14:textId="1B9FB9A5"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w:t>
            </w:r>
            <w:r>
              <w:rPr>
                <w:rFonts w:ascii="Garamond" w:hAnsi="Garamond"/>
                <w:kern w:val="0"/>
                <w:sz w:val="20"/>
                <w:szCs w:val="20"/>
              </w:rPr>
              <w:t>,</w:t>
            </w:r>
            <w:r w:rsidRPr="00EE7169">
              <w:rPr>
                <w:rFonts w:ascii="Garamond" w:hAnsi="Garamond"/>
                <w:kern w:val="0"/>
                <w:sz w:val="20"/>
                <w:szCs w:val="20"/>
              </w:rPr>
              <w:t>684</w:t>
            </w:r>
          </w:p>
        </w:tc>
        <w:tc>
          <w:tcPr>
            <w:tcW w:w="582" w:type="pct"/>
            <w:tcBorders>
              <w:top w:val="nil"/>
              <w:left w:val="nil"/>
              <w:bottom w:val="nil"/>
              <w:right w:val="nil"/>
            </w:tcBorders>
          </w:tcPr>
          <w:p w14:paraId="5EB8693B" w14:textId="59A1AF9A"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w:t>
            </w:r>
            <w:r>
              <w:rPr>
                <w:rFonts w:ascii="Garamond" w:hAnsi="Garamond"/>
                <w:kern w:val="0"/>
                <w:sz w:val="20"/>
                <w:szCs w:val="20"/>
              </w:rPr>
              <w:t>,</w:t>
            </w:r>
            <w:r w:rsidRPr="00EE7169">
              <w:rPr>
                <w:rFonts w:ascii="Garamond" w:hAnsi="Garamond"/>
                <w:kern w:val="0"/>
                <w:sz w:val="20"/>
                <w:szCs w:val="20"/>
              </w:rPr>
              <w:t>684</w:t>
            </w:r>
          </w:p>
        </w:tc>
        <w:tc>
          <w:tcPr>
            <w:tcW w:w="703" w:type="pct"/>
            <w:tcBorders>
              <w:top w:val="nil"/>
              <w:left w:val="nil"/>
              <w:bottom w:val="nil"/>
              <w:right w:val="nil"/>
            </w:tcBorders>
          </w:tcPr>
          <w:p w14:paraId="479AC483" w14:textId="17FA21C4"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56,705</w:t>
            </w:r>
          </w:p>
        </w:tc>
        <w:tc>
          <w:tcPr>
            <w:tcW w:w="702" w:type="pct"/>
            <w:tcBorders>
              <w:top w:val="nil"/>
              <w:left w:val="nil"/>
              <w:bottom w:val="nil"/>
              <w:right w:val="nil"/>
            </w:tcBorders>
          </w:tcPr>
          <w:p w14:paraId="1A45F785" w14:textId="71EE10E0" w:rsidR="00E51C85" w:rsidRPr="00EE7169" w:rsidRDefault="00E51C85" w:rsidP="00900D70">
            <w:pPr>
              <w:autoSpaceDE w:val="0"/>
              <w:autoSpaceDN w:val="0"/>
              <w:adjustRightInd w:val="0"/>
              <w:jc w:val="center"/>
              <w:rPr>
                <w:rFonts w:ascii="Garamond" w:hAnsi="Garamond"/>
                <w:kern w:val="0"/>
                <w:sz w:val="20"/>
                <w:szCs w:val="20"/>
              </w:rPr>
            </w:pPr>
            <w:r w:rsidRPr="00EE7169">
              <w:rPr>
                <w:rFonts w:ascii="Garamond" w:hAnsi="Garamond"/>
                <w:kern w:val="0"/>
                <w:sz w:val="20"/>
                <w:szCs w:val="20"/>
              </w:rPr>
              <w:t>56,705</w:t>
            </w:r>
          </w:p>
        </w:tc>
      </w:tr>
      <w:tr w:rsidR="00E51C85" w:rsidRPr="00EE7169" w14:paraId="6665D00D" w14:textId="093570F4" w:rsidTr="00E51C85">
        <w:trPr>
          <w:jc w:val="center"/>
        </w:trPr>
        <w:tc>
          <w:tcPr>
            <w:tcW w:w="1040" w:type="pct"/>
            <w:tcBorders>
              <w:top w:val="nil"/>
              <w:left w:val="nil"/>
              <w:bottom w:val="nil"/>
              <w:right w:val="nil"/>
            </w:tcBorders>
          </w:tcPr>
          <w:p w14:paraId="26E4F9A7" w14:textId="697C32C9" w:rsidR="00E51C85" w:rsidRPr="00EE7169" w:rsidRDefault="00E51C85" w:rsidP="00FF2CE9">
            <w:pPr>
              <w:autoSpaceDE w:val="0"/>
              <w:autoSpaceDN w:val="0"/>
              <w:adjustRightInd w:val="0"/>
              <w:jc w:val="left"/>
              <w:rPr>
                <w:rFonts w:ascii="Garamond" w:hAnsi="Garamond"/>
                <w:kern w:val="0"/>
                <w:sz w:val="20"/>
                <w:szCs w:val="20"/>
              </w:rPr>
            </w:pPr>
            <w:r w:rsidRPr="00EE7169">
              <w:rPr>
                <w:rFonts w:ascii="Garamond" w:hAnsi="Garamond"/>
                <w:kern w:val="0"/>
                <w:sz w:val="20"/>
                <w:szCs w:val="20"/>
              </w:rPr>
              <w:t>First-stage F statistic</w:t>
            </w:r>
          </w:p>
        </w:tc>
        <w:tc>
          <w:tcPr>
            <w:tcW w:w="695" w:type="pct"/>
            <w:tcBorders>
              <w:top w:val="nil"/>
              <w:left w:val="nil"/>
              <w:bottom w:val="nil"/>
              <w:right w:val="nil"/>
            </w:tcBorders>
          </w:tcPr>
          <w:p w14:paraId="394A3B5C"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3" w:type="pct"/>
            <w:tcBorders>
              <w:top w:val="nil"/>
              <w:left w:val="nil"/>
              <w:bottom w:val="nil"/>
              <w:right w:val="nil"/>
            </w:tcBorders>
          </w:tcPr>
          <w:p w14:paraId="6FD3FB08" w14:textId="6920F8D9"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18.48</w:t>
            </w:r>
          </w:p>
        </w:tc>
        <w:tc>
          <w:tcPr>
            <w:tcW w:w="695" w:type="pct"/>
            <w:tcBorders>
              <w:top w:val="nil"/>
              <w:left w:val="nil"/>
              <w:bottom w:val="nil"/>
              <w:right w:val="nil"/>
            </w:tcBorders>
          </w:tcPr>
          <w:p w14:paraId="32524E1B" w14:textId="4A432D8F" w:rsidR="00E51C85" w:rsidRPr="00EE7169" w:rsidRDefault="00E51C85" w:rsidP="00870AEB">
            <w:pPr>
              <w:autoSpaceDE w:val="0"/>
              <w:autoSpaceDN w:val="0"/>
              <w:adjustRightInd w:val="0"/>
              <w:jc w:val="center"/>
              <w:rPr>
                <w:rFonts w:ascii="Garamond" w:hAnsi="Garamond"/>
                <w:kern w:val="0"/>
                <w:sz w:val="20"/>
                <w:szCs w:val="20"/>
              </w:rPr>
            </w:pPr>
          </w:p>
        </w:tc>
        <w:tc>
          <w:tcPr>
            <w:tcW w:w="582" w:type="pct"/>
            <w:tcBorders>
              <w:top w:val="nil"/>
              <w:left w:val="nil"/>
              <w:bottom w:val="nil"/>
              <w:right w:val="nil"/>
            </w:tcBorders>
          </w:tcPr>
          <w:p w14:paraId="1A8B2060" w14:textId="2ADA9DC8"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4.85</w:t>
            </w:r>
          </w:p>
        </w:tc>
        <w:tc>
          <w:tcPr>
            <w:tcW w:w="703" w:type="pct"/>
            <w:tcBorders>
              <w:top w:val="nil"/>
              <w:left w:val="nil"/>
              <w:bottom w:val="nil"/>
              <w:right w:val="nil"/>
            </w:tcBorders>
          </w:tcPr>
          <w:p w14:paraId="7EC5C7BE" w14:textId="6BA71BEE" w:rsidR="00E51C85" w:rsidRPr="00EE7169" w:rsidRDefault="00E51C85" w:rsidP="00870AEB">
            <w:pPr>
              <w:autoSpaceDE w:val="0"/>
              <w:autoSpaceDN w:val="0"/>
              <w:adjustRightInd w:val="0"/>
              <w:jc w:val="center"/>
              <w:rPr>
                <w:rFonts w:ascii="Garamond" w:hAnsi="Garamond"/>
                <w:kern w:val="0"/>
                <w:sz w:val="20"/>
                <w:szCs w:val="20"/>
              </w:rPr>
            </w:pPr>
          </w:p>
        </w:tc>
        <w:tc>
          <w:tcPr>
            <w:tcW w:w="702" w:type="pct"/>
            <w:tcBorders>
              <w:top w:val="nil"/>
              <w:left w:val="nil"/>
              <w:bottom w:val="nil"/>
              <w:right w:val="nil"/>
            </w:tcBorders>
          </w:tcPr>
          <w:p w14:paraId="623AE6A1" w14:textId="550A55D0"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4.85</w:t>
            </w:r>
          </w:p>
        </w:tc>
      </w:tr>
      <w:tr w:rsidR="00E51C85" w:rsidRPr="00EE7169" w14:paraId="5BD7D842" w14:textId="08AE8BDA" w:rsidTr="00E51C85">
        <w:trPr>
          <w:trHeight w:val="323"/>
          <w:jc w:val="center"/>
        </w:trPr>
        <w:tc>
          <w:tcPr>
            <w:tcW w:w="1040" w:type="pct"/>
            <w:tcBorders>
              <w:top w:val="nil"/>
              <w:left w:val="nil"/>
              <w:bottom w:val="single" w:sz="6" w:space="0" w:color="auto"/>
              <w:right w:val="nil"/>
            </w:tcBorders>
          </w:tcPr>
          <w:p w14:paraId="064688B7" w14:textId="77777777" w:rsidR="00E51C85" w:rsidRPr="00EE7169" w:rsidRDefault="00E51C85" w:rsidP="00FF2CE9">
            <w:pPr>
              <w:autoSpaceDE w:val="0"/>
              <w:autoSpaceDN w:val="0"/>
              <w:adjustRightInd w:val="0"/>
              <w:jc w:val="left"/>
              <w:rPr>
                <w:rFonts w:ascii="Garamond" w:hAnsi="Garamond"/>
                <w:kern w:val="0"/>
                <w:sz w:val="20"/>
                <w:szCs w:val="20"/>
              </w:rPr>
            </w:pPr>
            <w:r w:rsidRPr="00EE7169">
              <w:rPr>
                <w:rFonts w:ascii="Garamond" w:hAnsi="Garamond"/>
                <w:kern w:val="0"/>
                <w:sz w:val="20"/>
                <w:szCs w:val="20"/>
              </w:rPr>
              <w:t>Anderson-Rubin test</w:t>
            </w:r>
          </w:p>
          <w:p w14:paraId="33E83762" w14:textId="23E3D443" w:rsidR="00E51C85" w:rsidRPr="00EE7169" w:rsidRDefault="00E51C85" w:rsidP="00FF2CE9">
            <w:pPr>
              <w:autoSpaceDE w:val="0"/>
              <w:autoSpaceDN w:val="0"/>
              <w:adjustRightInd w:val="0"/>
              <w:jc w:val="left"/>
              <w:rPr>
                <w:rFonts w:ascii="Garamond" w:hAnsi="Garamond"/>
                <w:kern w:val="0"/>
                <w:sz w:val="20"/>
                <w:szCs w:val="20"/>
              </w:rPr>
            </w:pPr>
            <w:r w:rsidRPr="00EE7169">
              <w:rPr>
                <w:rFonts w:ascii="Garamond" w:hAnsi="Garamond"/>
                <w:kern w:val="0"/>
                <w:sz w:val="20"/>
                <w:szCs w:val="20"/>
              </w:rPr>
              <w:t>P-value</w:t>
            </w:r>
          </w:p>
        </w:tc>
        <w:tc>
          <w:tcPr>
            <w:tcW w:w="695" w:type="pct"/>
            <w:tcBorders>
              <w:top w:val="nil"/>
              <w:left w:val="nil"/>
              <w:bottom w:val="single" w:sz="6" w:space="0" w:color="auto"/>
              <w:right w:val="nil"/>
            </w:tcBorders>
          </w:tcPr>
          <w:p w14:paraId="6EA167AA"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3" w:type="pct"/>
            <w:tcBorders>
              <w:top w:val="nil"/>
              <w:left w:val="nil"/>
              <w:bottom w:val="single" w:sz="6" w:space="0" w:color="auto"/>
              <w:right w:val="nil"/>
            </w:tcBorders>
          </w:tcPr>
          <w:p w14:paraId="4112E662"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695" w:type="pct"/>
            <w:tcBorders>
              <w:top w:val="nil"/>
              <w:left w:val="nil"/>
              <w:bottom w:val="single" w:sz="6" w:space="0" w:color="auto"/>
              <w:right w:val="nil"/>
            </w:tcBorders>
          </w:tcPr>
          <w:p w14:paraId="0D1D2096"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582" w:type="pct"/>
            <w:tcBorders>
              <w:top w:val="nil"/>
              <w:left w:val="nil"/>
              <w:bottom w:val="single" w:sz="6" w:space="0" w:color="auto"/>
              <w:right w:val="nil"/>
            </w:tcBorders>
          </w:tcPr>
          <w:p w14:paraId="3177CBF2" w14:textId="0A4D1E53" w:rsidR="00E51C85" w:rsidRPr="00EE7169" w:rsidRDefault="00E51C85" w:rsidP="00870AEB">
            <w:pPr>
              <w:autoSpaceDE w:val="0"/>
              <w:autoSpaceDN w:val="0"/>
              <w:adjustRightInd w:val="0"/>
              <w:jc w:val="center"/>
              <w:rPr>
                <w:rFonts w:ascii="Garamond" w:hAnsi="Garamond"/>
                <w:kern w:val="0"/>
                <w:sz w:val="20"/>
                <w:szCs w:val="20"/>
              </w:rPr>
            </w:pPr>
          </w:p>
        </w:tc>
        <w:tc>
          <w:tcPr>
            <w:tcW w:w="703" w:type="pct"/>
            <w:tcBorders>
              <w:top w:val="nil"/>
              <w:left w:val="nil"/>
              <w:bottom w:val="single" w:sz="6" w:space="0" w:color="auto"/>
              <w:right w:val="nil"/>
            </w:tcBorders>
          </w:tcPr>
          <w:p w14:paraId="26B85D99" w14:textId="77777777" w:rsidR="00E51C85" w:rsidRPr="00EE7169" w:rsidRDefault="00E51C85" w:rsidP="00870AEB">
            <w:pPr>
              <w:autoSpaceDE w:val="0"/>
              <w:autoSpaceDN w:val="0"/>
              <w:adjustRightInd w:val="0"/>
              <w:jc w:val="center"/>
              <w:rPr>
                <w:rFonts w:ascii="Garamond" w:hAnsi="Garamond"/>
                <w:kern w:val="0"/>
                <w:sz w:val="20"/>
                <w:szCs w:val="20"/>
              </w:rPr>
            </w:pPr>
          </w:p>
        </w:tc>
        <w:tc>
          <w:tcPr>
            <w:tcW w:w="702" w:type="pct"/>
            <w:tcBorders>
              <w:top w:val="nil"/>
              <w:left w:val="nil"/>
              <w:bottom w:val="single" w:sz="6" w:space="0" w:color="auto"/>
              <w:right w:val="nil"/>
            </w:tcBorders>
          </w:tcPr>
          <w:p w14:paraId="2B37EA1C" w14:textId="088AF0BF" w:rsidR="00E51C85" w:rsidRPr="00EE7169" w:rsidRDefault="00E51C8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0.0937</w:t>
            </w:r>
          </w:p>
        </w:tc>
      </w:tr>
    </w:tbl>
    <w:p w14:paraId="11F6BA4D" w14:textId="05EC49D7" w:rsidR="00B96B8C" w:rsidRPr="00EE7169" w:rsidRDefault="00B96B8C" w:rsidP="00B96B8C">
      <w:pPr>
        <w:widowControl/>
        <w:rPr>
          <w:rFonts w:ascii="Garamond" w:hAnsi="Garamond"/>
          <w:kern w:val="0"/>
          <w:szCs w:val="21"/>
        </w:rPr>
      </w:pPr>
      <w:r w:rsidRPr="00EE7169">
        <w:rPr>
          <w:rFonts w:ascii="Garamond" w:hAnsi="Garamond"/>
          <w:kern w:val="0"/>
          <w:szCs w:val="21"/>
        </w:rPr>
        <w:t xml:space="preserve">In this table, we present the results of distance on decentralization using </w:t>
      </w:r>
      <w:r w:rsidRPr="00EE7169">
        <w:rPr>
          <w:rFonts w:ascii="Garamond" w:hAnsi="Garamond"/>
          <w:i/>
          <w:kern w:val="0"/>
          <w:szCs w:val="21"/>
        </w:rPr>
        <w:t xml:space="preserve">Third Front </w:t>
      </w:r>
      <w:r w:rsidR="006C2CA6">
        <w:rPr>
          <w:rFonts w:ascii="Garamond" w:hAnsi="Garamond" w:hint="eastAsia"/>
          <w:i/>
          <w:kern w:val="0"/>
          <w:szCs w:val="21"/>
        </w:rPr>
        <w:t xml:space="preserve">Construction (TFC) </w:t>
      </w:r>
      <w:r w:rsidRPr="00EE7169">
        <w:rPr>
          <w:rFonts w:ascii="Garamond" w:hAnsi="Garamond"/>
          <w:i/>
          <w:kern w:val="0"/>
          <w:szCs w:val="21"/>
        </w:rPr>
        <w:t xml:space="preserve">Dummy </w:t>
      </w:r>
      <w:r w:rsidRPr="00EE7169">
        <w:rPr>
          <w:rFonts w:ascii="Garamond" w:hAnsi="Garamond"/>
          <w:kern w:val="0"/>
          <w:szCs w:val="21"/>
        </w:rPr>
        <w:t xml:space="preserve">as the instrument. </w:t>
      </w:r>
      <w:r w:rsidR="006C2CA6">
        <w:rPr>
          <w:rFonts w:ascii="Garamond" w:hAnsi="Garamond" w:hint="eastAsia"/>
          <w:i/>
          <w:kern w:val="0"/>
          <w:szCs w:val="21"/>
        </w:rPr>
        <w:t>TFC</w:t>
      </w:r>
      <w:r w:rsidRPr="00EE7169">
        <w:rPr>
          <w:rFonts w:ascii="Garamond" w:hAnsi="Garamond"/>
          <w:i/>
          <w:kern w:val="0"/>
          <w:szCs w:val="21"/>
        </w:rPr>
        <w:t xml:space="preserve"> </w:t>
      </w:r>
      <w:r w:rsidRPr="00EE7169">
        <w:rPr>
          <w:rFonts w:ascii="Garamond" w:hAnsi="Garamond"/>
          <w:kern w:val="0"/>
          <w:szCs w:val="21"/>
        </w:rPr>
        <w:t xml:space="preserve">equals to one if firm was established during 1964-1966 or 1969-1971 in the “Third Frond Construction Area.” </w:t>
      </w:r>
      <w:r w:rsidRPr="00EE7169">
        <w:rPr>
          <w:rFonts w:ascii="Garamond" w:eastAsia="STFangsong" w:hAnsi="Garamond"/>
          <w:szCs w:val="21"/>
        </w:rPr>
        <w:t xml:space="preserve">Marginal effects evaluated at the mean and standard errors are listed. </w:t>
      </w:r>
      <w:r w:rsidRPr="00EE7169">
        <w:rPr>
          <w:rFonts w:ascii="Garamond" w:hAnsi="Garamond"/>
          <w:kern w:val="0"/>
          <w:szCs w:val="21"/>
        </w:rPr>
        <w:t xml:space="preserve">The dependent variable </w:t>
      </w:r>
      <w:r w:rsidRPr="00EE7169">
        <w:rPr>
          <w:rFonts w:ascii="Garamond" w:hAnsi="Garamond"/>
          <w:i/>
          <w:kern w:val="0"/>
          <w:szCs w:val="21"/>
        </w:rPr>
        <w:t>Decentralized</w:t>
      </w:r>
      <w:r w:rsidRPr="00EE7169">
        <w:rPr>
          <w:rFonts w:ascii="Garamond" w:hAnsi="Garamond"/>
          <w:kern w:val="0"/>
          <w:szCs w:val="21"/>
        </w:rPr>
        <w:t xml:space="preserve"> in the 2</w:t>
      </w:r>
      <w:r w:rsidRPr="00EE7169">
        <w:rPr>
          <w:rFonts w:ascii="Garamond" w:hAnsi="Garamond"/>
          <w:kern w:val="0"/>
          <w:szCs w:val="21"/>
          <w:vertAlign w:val="superscript"/>
        </w:rPr>
        <w:t>nd</w:t>
      </w:r>
      <w:r w:rsidRPr="00EE7169">
        <w:rPr>
          <w:rFonts w:ascii="Garamond" w:hAnsi="Garamond"/>
          <w:kern w:val="0"/>
          <w:szCs w:val="21"/>
        </w:rPr>
        <w:t xml:space="preserve"> stage takes on the value of 1 if a firm is decentralized in year t, and 0 otherwise. Columns 1-</w:t>
      </w:r>
      <w:r w:rsidR="00E51C85">
        <w:rPr>
          <w:rFonts w:ascii="Garamond" w:hAnsi="Garamond" w:hint="eastAsia"/>
          <w:kern w:val="0"/>
          <w:szCs w:val="21"/>
        </w:rPr>
        <w:t>4</w:t>
      </w:r>
      <w:r w:rsidRPr="00EE7169">
        <w:rPr>
          <w:rFonts w:ascii="Garamond" w:hAnsi="Garamond"/>
          <w:kern w:val="0"/>
          <w:szCs w:val="21"/>
        </w:rPr>
        <w:t xml:space="preserve"> present the 2</w:t>
      </w:r>
      <w:r w:rsidRPr="00EE7169">
        <w:rPr>
          <w:rFonts w:ascii="Garamond" w:hAnsi="Garamond"/>
          <w:kern w:val="0"/>
          <w:szCs w:val="21"/>
          <w:vertAlign w:val="superscript"/>
        </w:rPr>
        <w:t>nd</w:t>
      </w:r>
      <w:r w:rsidRPr="00EE7169">
        <w:rPr>
          <w:rFonts w:ascii="Garamond" w:hAnsi="Garamond"/>
          <w:kern w:val="0"/>
          <w:szCs w:val="21"/>
        </w:rPr>
        <w:t xml:space="preserve"> stage and 1</w:t>
      </w:r>
      <w:r w:rsidRPr="00EE7169">
        <w:rPr>
          <w:rFonts w:ascii="Garamond" w:hAnsi="Garamond"/>
          <w:kern w:val="0"/>
          <w:szCs w:val="21"/>
          <w:vertAlign w:val="superscript"/>
        </w:rPr>
        <w:t>st</w:t>
      </w:r>
      <w:r w:rsidRPr="00EE7169">
        <w:rPr>
          <w:rFonts w:ascii="Garamond" w:hAnsi="Garamond"/>
          <w:kern w:val="0"/>
          <w:szCs w:val="21"/>
        </w:rPr>
        <w:t xml:space="preserve"> stage results from IV Probit model, which is estimated using conditional MLE (</w:t>
      </w:r>
      <w:r w:rsidRPr="00EE7169">
        <w:rPr>
          <w:rFonts w:ascii="Garamond" w:hAnsi="Garamond"/>
          <w:szCs w:val="21"/>
        </w:rPr>
        <w:t>The first stage result is estimated jointly with the parameters of the Probit equation when implementing conditional MLE</w:t>
      </w:r>
      <w:r w:rsidRPr="00EE7169">
        <w:rPr>
          <w:rFonts w:ascii="Garamond" w:hAnsi="Garamond"/>
          <w:kern w:val="0"/>
          <w:szCs w:val="21"/>
        </w:rPr>
        <w:t>).</w:t>
      </w:r>
      <w:r w:rsidRPr="00EE7169">
        <w:rPr>
          <w:rFonts w:ascii="Garamond" w:hAnsi="Garamond"/>
          <w:szCs w:val="21"/>
        </w:rPr>
        <w:t xml:space="preserve"> </w:t>
      </w:r>
      <w:r w:rsidR="00E51C85">
        <w:rPr>
          <w:rFonts w:ascii="Garamond" w:hAnsi="Garamond" w:hint="eastAsia"/>
          <w:szCs w:val="21"/>
        </w:rPr>
        <w:t xml:space="preserve">Columns 1-2 control for province dummies. Columns 3-4 control for a full set of oversight government dummies. </w:t>
      </w:r>
      <w:r w:rsidRPr="00EE7169">
        <w:rPr>
          <w:rFonts w:ascii="Garamond" w:hAnsi="Garamond"/>
          <w:kern w:val="0"/>
          <w:szCs w:val="21"/>
        </w:rPr>
        <w:t>Column</w:t>
      </w:r>
      <w:r w:rsidR="00E51C85">
        <w:rPr>
          <w:rFonts w:ascii="Garamond" w:hAnsi="Garamond" w:hint="eastAsia"/>
          <w:kern w:val="0"/>
          <w:szCs w:val="21"/>
        </w:rPr>
        <w:t>s</w:t>
      </w:r>
      <w:r w:rsidRPr="00EE7169">
        <w:rPr>
          <w:rFonts w:ascii="Garamond" w:hAnsi="Garamond"/>
          <w:kern w:val="0"/>
          <w:szCs w:val="21"/>
        </w:rPr>
        <w:t xml:space="preserve"> </w:t>
      </w:r>
      <w:r w:rsidR="00E51C85">
        <w:rPr>
          <w:rFonts w:ascii="Garamond" w:hAnsi="Garamond" w:hint="eastAsia"/>
          <w:kern w:val="0"/>
          <w:szCs w:val="21"/>
        </w:rPr>
        <w:t>5</w:t>
      </w:r>
      <w:r w:rsidRPr="00EE7169">
        <w:rPr>
          <w:rFonts w:ascii="Garamond" w:hAnsi="Garamond"/>
          <w:kern w:val="0"/>
          <w:szCs w:val="21"/>
        </w:rPr>
        <w:t>-</w:t>
      </w:r>
      <w:r w:rsidR="00E51C85">
        <w:rPr>
          <w:rFonts w:ascii="Garamond" w:hAnsi="Garamond" w:hint="eastAsia"/>
          <w:kern w:val="0"/>
          <w:szCs w:val="21"/>
        </w:rPr>
        <w:t>6</w:t>
      </w:r>
      <w:r w:rsidRPr="00EE7169">
        <w:rPr>
          <w:rFonts w:ascii="Garamond" w:hAnsi="Garamond"/>
          <w:kern w:val="0"/>
          <w:szCs w:val="21"/>
        </w:rPr>
        <w:t xml:space="preserve"> present results from </w:t>
      </w:r>
      <w:r w:rsidR="00E51C85">
        <w:rPr>
          <w:rFonts w:ascii="Garamond" w:hAnsi="Garamond" w:hint="eastAsia"/>
          <w:kern w:val="0"/>
          <w:szCs w:val="21"/>
        </w:rPr>
        <w:t xml:space="preserve">a </w:t>
      </w:r>
      <w:r w:rsidRPr="00EE7169">
        <w:rPr>
          <w:rFonts w:ascii="Garamond" w:hAnsi="Garamond"/>
          <w:kern w:val="0"/>
          <w:szCs w:val="21"/>
        </w:rPr>
        <w:t>standard 2SLS model</w:t>
      </w:r>
      <w:r w:rsidR="00D55544" w:rsidRPr="00EE7169">
        <w:rPr>
          <w:rFonts w:ascii="Garamond" w:hAnsi="Garamond"/>
          <w:kern w:val="0"/>
          <w:szCs w:val="21"/>
        </w:rPr>
        <w:t xml:space="preserve">. </w:t>
      </w:r>
      <w:r w:rsidRPr="00EE7169">
        <w:rPr>
          <w:rFonts w:ascii="Garamond" w:hAnsi="Garamond"/>
          <w:kern w:val="0"/>
          <w:szCs w:val="21"/>
        </w:rPr>
        <w:t xml:space="preserve">Standard errors are clustered at the level </w:t>
      </w:r>
      <w:r w:rsidR="00BB5015" w:rsidRPr="00EE7169">
        <w:rPr>
          <w:rFonts w:ascii="Garamond" w:hAnsi="Garamond"/>
          <w:kern w:val="0"/>
          <w:szCs w:val="21"/>
        </w:rPr>
        <w:t>of the same oversight government</w:t>
      </w:r>
      <w:r w:rsidRPr="00EE7169">
        <w:rPr>
          <w:rFonts w:ascii="Garamond" w:hAnsi="Garamond"/>
          <w:kern w:val="0"/>
          <w:szCs w:val="21"/>
        </w:rPr>
        <w:t>.</w:t>
      </w:r>
      <w:r w:rsidRPr="00EE7169">
        <w:rPr>
          <w:rFonts w:ascii="Garamond" w:hAnsi="Garamond"/>
          <w:szCs w:val="21"/>
        </w:rPr>
        <w:t xml:space="preserve"> </w:t>
      </w:r>
      <w:r w:rsidRPr="00EE7169">
        <w:rPr>
          <w:rFonts w:ascii="Garamond" w:hAnsi="Garamond"/>
          <w:kern w:val="0"/>
          <w:szCs w:val="21"/>
        </w:rPr>
        <w:t>*, ** and *** indicate statistical significance at 10%, 5% and 1% levels, respectively.</w:t>
      </w:r>
    </w:p>
    <w:p w14:paraId="740E1A35" w14:textId="39413CC0" w:rsidR="005D32E8" w:rsidRPr="00EE7169" w:rsidRDefault="00363F8A" w:rsidP="00FF2CE9">
      <w:pPr>
        <w:widowControl/>
        <w:rPr>
          <w:rFonts w:ascii="Garamond" w:hAnsi="Garamond"/>
          <w:b/>
          <w:kern w:val="0"/>
          <w:sz w:val="24"/>
          <w:szCs w:val="24"/>
        </w:rPr>
      </w:pPr>
      <w:r w:rsidRPr="00EE7169">
        <w:rPr>
          <w:rFonts w:ascii="Garamond" w:hAnsi="Garamond"/>
          <w:b/>
          <w:kern w:val="0"/>
          <w:sz w:val="24"/>
          <w:szCs w:val="24"/>
        </w:rPr>
        <w:br w:type="page"/>
      </w:r>
      <w:r w:rsidR="000F373C">
        <w:rPr>
          <w:rFonts w:ascii="Garamond" w:hAnsi="Garamond"/>
          <w:b/>
          <w:kern w:val="0"/>
          <w:sz w:val="24"/>
          <w:szCs w:val="24"/>
        </w:rPr>
        <w:lastRenderedPageBreak/>
        <w:t xml:space="preserve">                        </w:t>
      </w:r>
      <w:r w:rsidR="005D32E8" w:rsidRPr="00EE7169">
        <w:rPr>
          <w:rFonts w:ascii="Garamond" w:hAnsi="Garamond"/>
          <w:b/>
          <w:kern w:val="0"/>
          <w:sz w:val="24"/>
          <w:szCs w:val="24"/>
        </w:rPr>
        <w:t xml:space="preserve">Table </w:t>
      </w:r>
      <w:r w:rsidR="00D9136D">
        <w:rPr>
          <w:rFonts w:ascii="Garamond" w:hAnsi="Garamond"/>
          <w:b/>
          <w:kern w:val="0"/>
          <w:sz w:val="24"/>
          <w:szCs w:val="24"/>
        </w:rPr>
        <w:t>9</w:t>
      </w:r>
      <w:r w:rsidR="005D32E8" w:rsidRPr="00EE7169">
        <w:rPr>
          <w:rFonts w:ascii="Garamond" w:hAnsi="Garamond"/>
          <w:b/>
          <w:kern w:val="0"/>
          <w:sz w:val="24"/>
          <w:szCs w:val="24"/>
        </w:rPr>
        <w:t xml:space="preserve">. Determinants of Decentralization – </w:t>
      </w:r>
      <w:r w:rsidR="00E753EC" w:rsidRPr="00EE7169">
        <w:rPr>
          <w:rFonts w:ascii="Garamond" w:hAnsi="Garamond"/>
          <w:b/>
          <w:kern w:val="0"/>
          <w:sz w:val="24"/>
          <w:szCs w:val="24"/>
        </w:rPr>
        <w:t xml:space="preserve">Role </w:t>
      </w:r>
      <w:r w:rsidR="005D32E8" w:rsidRPr="00EE7169">
        <w:rPr>
          <w:rFonts w:ascii="Garamond" w:hAnsi="Garamond"/>
          <w:b/>
          <w:kern w:val="0"/>
          <w:sz w:val="24"/>
          <w:szCs w:val="24"/>
        </w:rPr>
        <w:t>of Information</w:t>
      </w:r>
    </w:p>
    <w:tbl>
      <w:tblPr>
        <w:tblW w:w="5476" w:type="pct"/>
        <w:jc w:val="center"/>
        <w:tblCellMar>
          <w:left w:w="75" w:type="dxa"/>
          <w:right w:w="75" w:type="dxa"/>
        </w:tblCellMar>
        <w:tblLook w:val="0000" w:firstRow="0" w:lastRow="0" w:firstColumn="0" w:lastColumn="0" w:noHBand="0" w:noVBand="0"/>
      </w:tblPr>
      <w:tblGrid>
        <w:gridCol w:w="2140"/>
        <w:gridCol w:w="1453"/>
        <w:gridCol w:w="1794"/>
        <w:gridCol w:w="1453"/>
        <w:gridCol w:w="1400"/>
        <w:gridCol w:w="1550"/>
        <w:gridCol w:w="1400"/>
        <w:gridCol w:w="1604"/>
        <w:gridCol w:w="1400"/>
      </w:tblGrid>
      <w:tr w:rsidR="00D61A71" w:rsidRPr="00EE7169" w14:paraId="04231DB3" w14:textId="04A6C4A3" w:rsidTr="00D55544">
        <w:trPr>
          <w:jc w:val="center"/>
        </w:trPr>
        <w:tc>
          <w:tcPr>
            <w:tcW w:w="754" w:type="pct"/>
            <w:tcBorders>
              <w:top w:val="single" w:sz="6" w:space="0" w:color="auto"/>
              <w:left w:val="nil"/>
              <w:bottom w:val="single" w:sz="4" w:space="0" w:color="auto"/>
              <w:right w:val="nil"/>
            </w:tcBorders>
          </w:tcPr>
          <w:p w14:paraId="4C9B87ED" w14:textId="77777777" w:rsidR="00BB5015" w:rsidRPr="00EE7169" w:rsidRDefault="00BB5015" w:rsidP="00E753EC">
            <w:pPr>
              <w:autoSpaceDE w:val="0"/>
              <w:autoSpaceDN w:val="0"/>
              <w:adjustRightInd w:val="0"/>
              <w:jc w:val="center"/>
              <w:rPr>
                <w:rFonts w:ascii="Garamond" w:hAnsi="Garamond"/>
                <w:kern w:val="0"/>
                <w:sz w:val="20"/>
                <w:szCs w:val="20"/>
              </w:rPr>
            </w:pPr>
          </w:p>
        </w:tc>
        <w:tc>
          <w:tcPr>
            <w:tcW w:w="512" w:type="pct"/>
            <w:tcBorders>
              <w:top w:val="single" w:sz="6" w:space="0" w:color="auto"/>
              <w:left w:val="nil"/>
              <w:bottom w:val="single" w:sz="4" w:space="0" w:color="auto"/>
              <w:right w:val="nil"/>
            </w:tcBorders>
          </w:tcPr>
          <w:p w14:paraId="05BA77C7" w14:textId="77777777"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(1)</w:t>
            </w:r>
          </w:p>
        </w:tc>
        <w:tc>
          <w:tcPr>
            <w:tcW w:w="632" w:type="pct"/>
            <w:tcBorders>
              <w:top w:val="single" w:sz="6" w:space="0" w:color="auto"/>
              <w:left w:val="nil"/>
              <w:bottom w:val="single" w:sz="4" w:space="0" w:color="auto"/>
              <w:right w:val="nil"/>
            </w:tcBorders>
          </w:tcPr>
          <w:p w14:paraId="1913F14D" w14:textId="3B2D01F0"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(2)</w:t>
            </w:r>
          </w:p>
        </w:tc>
        <w:tc>
          <w:tcPr>
            <w:tcW w:w="512" w:type="pct"/>
            <w:tcBorders>
              <w:top w:val="single" w:sz="6" w:space="0" w:color="auto"/>
              <w:left w:val="nil"/>
              <w:bottom w:val="single" w:sz="4" w:space="0" w:color="auto"/>
              <w:right w:val="nil"/>
            </w:tcBorders>
          </w:tcPr>
          <w:p w14:paraId="6E3BACA9" w14:textId="48B01B25"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(3)</w:t>
            </w:r>
          </w:p>
        </w:tc>
        <w:tc>
          <w:tcPr>
            <w:tcW w:w="493" w:type="pct"/>
            <w:tcBorders>
              <w:top w:val="single" w:sz="6" w:space="0" w:color="auto"/>
              <w:left w:val="nil"/>
              <w:bottom w:val="single" w:sz="4" w:space="0" w:color="auto"/>
              <w:right w:val="nil"/>
            </w:tcBorders>
          </w:tcPr>
          <w:p w14:paraId="5D91B740" w14:textId="270E34CF"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w:t>
            </w:r>
          </w:p>
        </w:tc>
        <w:tc>
          <w:tcPr>
            <w:tcW w:w="546" w:type="pct"/>
            <w:tcBorders>
              <w:top w:val="single" w:sz="6" w:space="0" w:color="auto"/>
              <w:left w:val="nil"/>
              <w:bottom w:val="single" w:sz="4" w:space="0" w:color="auto"/>
              <w:right w:val="nil"/>
            </w:tcBorders>
          </w:tcPr>
          <w:p w14:paraId="5C7B9311" w14:textId="670C9EEC"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(5)</w:t>
            </w:r>
          </w:p>
        </w:tc>
        <w:tc>
          <w:tcPr>
            <w:tcW w:w="493" w:type="pct"/>
            <w:tcBorders>
              <w:top w:val="single" w:sz="6" w:space="0" w:color="auto"/>
              <w:left w:val="nil"/>
              <w:bottom w:val="single" w:sz="4" w:space="0" w:color="auto"/>
              <w:right w:val="nil"/>
            </w:tcBorders>
          </w:tcPr>
          <w:p w14:paraId="3A3007AA" w14:textId="6A39A6A3"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(6)</w:t>
            </w:r>
          </w:p>
        </w:tc>
        <w:tc>
          <w:tcPr>
            <w:tcW w:w="565" w:type="pct"/>
            <w:tcBorders>
              <w:top w:val="single" w:sz="6" w:space="0" w:color="auto"/>
              <w:left w:val="nil"/>
              <w:bottom w:val="single" w:sz="4" w:space="0" w:color="auto"/>
              <w:right w:val="nil"/>
            </w:tcBorders>
          </w:tcPr>
          <w:p w14:paraId="5FA2D06F" w14:textId="613A6C7A"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(7)</w:t>
            </w:r>
          </w:p>
        </w:tc>
        <w:tc>
          <w:tcPr>
            <w:tcW w:w="493" w:type="pct"/>
            <w:tcBorders>
              <w:top w:val="single" w:sz="6" w:space="0" w:color="auto"/>
              <w:left w:val="nil"/>
              <w:bottom w:val="single" w:sz="4" w:space="0" w:color="auto"/>
              <w:right w:val="nil"/>
            </w:tcBorders>
          </w:tcPr>
          <w:p w14:paraId="1B6D7F6E" w14:textId="20B2E073" w:rsidR="00BB5015" w:rsidRPr="00EE7169" w:rsidRDefault="00BB5015"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(8)</w:t>
            </w:r>
          </w:p>
        </w:tc>
      </w:tr>
      <w:tr w:rsidR="00D55544" w:rsidRPr="00EE7169" w14:paraId="24DC78C9" w14:textId="77777777" w:rsidTr="00D55544">
        <w:trPr>
          <w:jc w:val="center"/>
        </w:trPr>
        <w:tc>
          <w:tcPr>
            <w:tcW w:w="754" w:type="pct"/>
            <w:tcBorders>
              <w:top w:val="single" w:sz="6" w:space="0" w:color="auto"/>
              <w:left w:val="nil"/>
              <w:bottom w:val="single" w:sz="4" w:space="0" w:color="auto"/>
              <w:right w:val="nil"/>
            </w:tcBorders>
          </w:tcPr>
          <w:p w14:paraId="05B57848" w14:textId="77777777" w:rsidR="00D55544" w:rsidRPr="00EE7169" w:rsidRDefault="00D55544" w:rsidP="00E753EC">
            <w:pPr>
              <w:autoSpaceDE w:val="0"/>
              <w:autoSpaceDN w:val="0"/>
              <w:adjustRightInd w:val="0"/>
              <w:jc w:val="center"/>
              <w:rPr>
                <w:rFonts w:ascii="Garamond" w:hAnsi="Garamond"/>
                <w:kern w:val="0"/>
                <w:sz w:val="20"/>
                <w:szCs w:val="20"/>
              </w:rPr>
            </w:pPr>
          </w:p>
        </w:tc>
        <w:tc>
          <w:tcPr>
            <w:tcW w:w="512" w:type="pct"/>
            <w:tcBorders>
              <w:top w:val="single" w:sz="6" w:space="0" w:color="auto"/>
              <w:left w:val="nil"/>
              <w:bottom w:val="single" w:sz="4" w:space="0" w:color="auto"/>
              <w:right w:val="nil"/>
            </w:tcBorders>
          </w:tcPr>
          <w:p w14:paraId="1DD41D94" w14:textId="525A84F4"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i/>
                <w:kern w:val="0"/>
                <w:szCs w:val="21"/>
              </w:rPr>
              <w:t>Province road mileages</w:t>
            </w:r>
          </w:p>
        </w:tc>
        <w:tc>
          <w:tcPr>
            <w:tcW w:w="632" w:type="pct"/>
            <w:tcBorders>
              <w:top w:val="single" w:sz="6" w:space="0" w:color="auto"/>
              <w:left w:val="nil"/>
              <w:bottom w:val="single" w:sz="4" w:space="0" w:color="auto"/>
              <w:right w:val="nil"/>
            </w:tcBorders>
          </w:tcPr>
          <w:p w14:paraId="6D7F6BD0" w14:textId="496C78BC"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i/>
                <w:kern w:val="0"/>
                <w:szCs w:val="21"/>
              </w:rPr>
              <w:t>Province telecom infrastructure</w:t>
            </w:r>
          </w:p>
        </w:tc>
        <w:tc>
          <w:tcPr>
            <w:tcW w:w="512" w:type="pct"/>
            <w:tcBorders>
              <w:top w:val="single" w:sz="6" w:space="0" w:color="auto"/>
              <w:left w:val="nil"/>
              <w:bottom w:val="single" w:sz="4" w:space="0" w:color="auto"/>
              <w:right w:val="nil"/>
            </w:tcBorders>
          </w:tcPr>
          <w:p w14:paraId="4C57FB7B" w14:textId="2386AE7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i/>
                <w:kern w:val="0"/>
                <w:szCs w:val="21"/>
              </w:rPr>
              <w:t>Province internet users</w:t>
            </w:r>
          </w:p>
        </w:tc>
        <w:tc>
          <w:tcPr>
            <w:tcW w:w="493" w:type="pct"/>
            <w:tcBorders>
              <w:top w:val="single" w:sz="6" w:space="0" w:color="auto"/>
              <w:left w:val="nil"/>
              <w:bottom w:val="single" w:sz="4" w:space="0" w:color="auto"/>
              <w:right w:val="nil"/>
            </w:tcBorders>
          </w:tcPr>
          <w:p w14:paraId="66576D55" w14:textId="060E6CD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i/>
                <w:kern w:val="0"/>
                <w:sz w:val="20"/>
                <w:szCs w:val="20"/>
              </w:rPr>
              <w:t>Intangibility</w:t>
            </w:r>
          </w:p>
        </w:tc>
        <w:tc>
          <w:tcPr>
            <w:tcW w:w="546" w:type="pct"/>
            <w:tcBorders>
              <w:top w:val="single" w:sz="6" w:space="0" w:color="auto"/>
              <w:left w:val="nil"/>
              <w:bottom w:val="single" w:sz="4" w:space="0" w:color="auto"/>
              <w:right w:val="nil"/>
            </w:tcBorders>
          </w:tcPr>
          <w:p w14:paraId="6C9BFD81" w14:textId="77777777" w:rsidR="00D55544" w:rsidRPr="00EE7169" w:rsidRDefault="00D55544" w:rsidP="00D55544">
            <w:pPr>
              <w:autoSpaceDE w:val="0"/>
              <w:autoSpaceDN w:val="0"/>
              <w:adjustRightInd w:val="0"/>
              <w:jc w:val="left"/>
              <w:rPr>
                <w:rFonts w:ascii="Garamond" w:hAnsi="Garamond"/>
                <w:i/>
                <w:kern w:val="0"/>
                <w:szCs w:val="21"/>
              </w:rPr>
            </w:pPr>
            <w:r w:rsidRPr="00EE7169">
              <w:rPr>
                <w:rFonts w:ascii="Garamond" w:hAnsi="Garamond"/>
                <w:i/>
                <w:kern w:val="0"/>
                <w:szCs w:val="21"/>
              </w:rPr>
              <w:t>ROS</w:t>
            </w:r>
          </w:p>
          <w:p w14:paraId="37593347" w14:textId="77777777" w:rsidR="00D55544" w:rsidRPr="00EE7169" w:rsidRDefault="00D55544" w:rsidP="00D55544">
            <w:pPr>
              <w:autoSpaceDE w:val="0"/>
              <w:autoSpaceDN w:val="0"/>
              <w:adjustRightInd w:val="0"/>
              <w:jc w:val="left"/>
              <w:rPr>
                <w:rFonts w:ascii="Garamond" w:eastAsia="STFangsong" w:hAnsi="Garamond"/>
                <w:szCs w:val="21"/>
              </w:rPr>
            </w:pPr>
            <w:r w:rsidRPr="00EE7169">
              <w:rPr>
                <w:rFonts w:ascii="Garamond" w:hAnsi="Garamond"/>
                <w:i/>
                <w:kern w:val="0"/>
                <w:szCs w:val="21"/>
              </w:rPr>
              <w:t>dispersion</w:t>
            </w:r>
          </w:p>
          <w:p w14:paraId="430A32F1" w14:textId="7563E51C" w:rsidR="00D55544" w:rsidRPr="00EE7169" w:rsidRDefault="00D55544" w:rsidP="00870AEB">
            <w:pPr>
              <w:autoSpaceDE w:val="0"/>
              <w:autoSpaceDN w:val="0"/>
              <w:adjustRightInd w:val="0"/>
              <w:jc w:val="center"/>
              <w:rPr>
                <w:rFonts w:ascii="Garamond" w:hAnsi="Garamond"/>
                <w:kern w:val="0"/>
                <w:sz w:val="20"/>
                <w:szCs w:val="20"/>
              </w:rPr>
            </w:pPr>
          </w:p>
        </w:tc>
        <w:tc>
          <w:tcPr>
            <w:tcW w:w="493" w:type="pct"/>
            <w:tcBorders>
              <w:top w:val="single" w:sz="6" w:space="0" w:color="auto"/>
              <w:left w:val="nil"/>
              <w:bottom w:val="single" w:sz="4" w:space="0" w:color="auto"/>
              <w:right w:val="nil"/>
            </w:tcBorders>
          </w:tcPr>
          <w:p w14:paraId="795111F4" w14:textId="562D3597"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i/>
                <w:kern w:val="0"/>
                <w:szCs w:val="21"/>
              </w:rPr>
              <w:t>TFP OLS dispersion</w:t>
            </w:r>
          </w:p>
        </w:tc>
        <w:tc>
          <w:tcPr>
            <w:tcW w:w="565" w:type="pct"/>
            <w:tcBorders>
              <w:top w:val="single" w:sz="6" w:space="0" w:color="auto"/>
              <w:left w:val="nil"/>
              <w:bottom w:val="single" w:sz="4" w:space="0" w:color="auto"/>
              <w:right w:val="nil"/>
            </w:tcBorders>
          </w:tcPr>
          <w:p w14:paraId="362AA5A4" w14:textId="7C7E2A48" w:rsidR="00D55544" w:rsidRPr="00EE7169" w:rsidRDefault="00D55544" w:rsidP="00870AEB">
            <w:pPr>
              <w:autoSpaceDE w:val="0"/>
              <w:autoSpaceDN w:val="0"/>
              <w:adjustRightInd w:val="0"/>
              <w:jc w:val="center"/>
              <w:rPr>
                <w:rFonts w:ascii="Garamond" w:hAnsi="Garamond"/>
                <w:i/>
                <w:kern w:val="0"/>
                <w:szCs w:val="21"/>
              </w:rPr>
            </w:pPr>
            <w:r w:rsidRPr="00EE7169">
              <w:rPr>
                <w:rFonts w:ascii="Garamond" w:hAnsi="Garamond"/>
                <w:i/>
                <w:kern w:val="0"/>
                <w:szCs w:val="21"/>
              </w:rPr>
              <w:t xml:space="preserve">TFP </w:t>
            </w:r>
            <w:r w:rsidRPr="00EE7169">
              <w:rPr>
                <w:rFonts w:ascii="Garamond" w:hAnsi="Garamond"/>
                <w:i/>
                <w:color w:val="000000"/>
                <w:kern w:val="0"/>
                <w:szCs w:val="21"/>
              </w:rPr>
              <w:t>Olley-Pakes</w:t>
            </w:r>
            <w:r w:rsidRPr="00EE7169">
              <w:rPr>
                <w:rFonts w:ascii="Garamond" w:hAnsi="Garamond"/>
                <w:i/>
                <w:kern w:val="0"/>
                <w:szCs w:val="21"/>
              </w:rPr>
              <w:t xml:space="preserve"> dispersion</w:t>
            </w:r>
          </w:p>
        </w:tc>
        <w:tc>
          <w:tcPr>
            <w:tcW w:w="493" w:type="pct"/>
            <w:tcBorders>
              <w:top w:val="single" w:sz="6" w:space="0" w:color="auto"/>
              <w:left w:val="nil"/>
              <w:bottom w:val="single" w:sz="4" w:space="0" w:color="auto"/>
              <w:right w:val="nil"/>
            </w:tcBorders>
          </w:tcPr>
          <w:p w14:paraId="1D2162EA" w14:textId="52307188"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i/>
                <w:kern w:val="0"/>
                <w:szCs w:val="21"/>
              </w:rPr>
              <w:t>TFP Index Number dispersion</w:t>
            </w:r>
          </w:p>
        </w:tc>
      </w:tr>
      <w:tr w:rsidR="00D55544" w:rsidRPr="00EE7169" w14:paraId="57EAFC7D" w14:textId="7AEE28A5" w:rsidTr="00D55544">
        <w:trPr>
          <w:jc w:val="center"/>
        </w:trPr>
        <w:tc>
          <w:tcPr>
            <w:tcW w:w="754" w:type="pct"/>
            <w:vMerge w:val="restart"/>
            <w:tcBorders>
              <w:top w:val="single" w:sz="4" w:space="0" w:color="auto"/>
              <w:left w:val="nil"/>
              <w:right w:val="nil"/>
            </w:tcBorders>
          </w:tcPr>
          <w:p w14:paraId="52371AAB" w14:textId="7AB166B1"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Distance</w:t>
            </w:r>
            <w:r w:rsidRPr="00EE7169">
              <w:rPr>
                <w:rFonts w:ascii="Garamond" w:hAnsi="Garamond"/>
                <w:kern w:val="0"/>
                <w:sz w:val="20"/>
                <w:szCs w:val="20"/>
                <w:vertAlign w:val="subscript"/>
              </w:rPr>
              <w:t xml:space="preserve"> (t-1)</w:t>
            </w:r>
          </w:p>
        </w:tc>
        <w:tc>
          <w:tcPr>
            <w:tcW w:w="512" w:type="pct"/>
            <w:tcBorders>
              <w:top w:val="single" w:sz="4" w:space="0" w:color="auto"/>
              <w:left w:val="nil"/>
              <w:bottom w:val="nil"/>
              <w:right w:val="nil"/>
            </w:tcBorders>
          </w:tcPr>
          <w:p w14:paraId="2706E644" w14:textId="203ECD22"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0.0104***</w:t>
            </w:r>
          </w:p>
        </w:tc>
        <w:tc>
          <w:tcPr>
            <w:tcW w:w="632" w:type="pct"/>
            <w:tcBorders>
              <w:top w:val="single" w:sz="4" w:space="0" w:color="auto"/>
              <w:left w:val="nil"/>
              <w:bottom w:val="nil"/>
              <w:right w:val="nil"/>
            </w:tcBorders>
          </w:tcPr>
          <w:p w14:paraId="477ACDD3" w14:textId="7914DD4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0.0193***</w:t>
            </w:r>
          </w:p>
        </w:tc>
        <w:tc>
          <w:tcPr>
            <w:tcW w:w="512" w:type="pct"/>
            <w:tcBorders>
              <w:top w:val="single" w:sz="4" w:space="0" w:color="auto"/>
              <w:left w:val="nil"/>
              <w:bottom w:val="nil"/>
              <w:right w:val="nil"/>
            </w:tcBorders>
          </w:tcPr>
          <w:p w14:paraId="160A1FD6" w14:textId="3078D2E4"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0.0088***</w:t>
            </w:r>
          </w:p>
        </w:tc>
        <w:tc>
          <w:tcPr>
            <w:tcW w:w="493" w:type="pct"/>
            <w:tcBorders>
              <w:top w:val="single" w:sz="4" w:space="0" w:color="auto"/>
              <w:left w:val="nil"/>
              <w:bottom w:val="nil"/>
              <w:right w:val="nil"/>
            </w:tcBorders>
          </w:tcPr>
          <w:p w14:paraId="4EBC97DE" w14:textId="025BC7BC"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0.0052***</w:t>
            </w:r>
          </w:p>
        </w:tc>
        <w:tc>
          <w:tcPr>
            <w:tcW w:w="546" w:type="pct"/>
            <w:tcBorders>
              <w:top w:val="single" w:sz="4" w:space="0" w:color="auto"/>
              <w:left w:val="nil"/>
              <w:bottom w:val="nil"/>
              <w:right w:val="nil"/>
            </w:tcBorders>
          </w:tcPr>
          <w:p w14:paraId="42DA7023" w14:textId="2188457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0.0039***</w:t>
            </w:r>
          </w:p>
        </w:tc>
        <w:tc>
          <w:tcPr>
            <w:tcW w:w="493" w:type="pct"/>
            <w:tcBorders>
              <w:top w:val="single" w:sz="4" w:space="0" w:color="auto"/>
              <w:left w:val="nil"/>
              <w:bottom w:val="nil"/>
              <w:right w:val="nil"/>
            </w:tcBorders>
          </w:tcPr>
          <w:p w14:paraId="341AFF55" w14:textId="129955B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(0.0009)</w:t>
            </w:r>
          </w:p>
        </w:tc>
        <w:tc>
          <w:tcPr>
            <w:tcW w:w="565" w:type="pct"/>
            <w:tcBorders>
              <w:top w:val="single" w:sz="4" w:space="0" w:color="auto"/>
              <w:left w:val="nil"/>
              <w:bottom w:val="nil"/>
              <w:right w:val="nil"/>
            </w:tcBorders>
          </w:tcPr>
          <w:p w14:paraId="0AC23800" w14:textId="18D864F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-0.0006</w:t>
            </w:r>
          </w:p>
        </w:tc>
        <w:tc>
          <w:tcPr>
            <w:tcW w:w="493" w:type="pct"/>
            <w:tcBorders>
              <w:top w:val="single" w:sz="4" w:space="0" w:color="auto"/>
              <w:left w:val="nil"/>
              <w:bottom w:val="nil"/>
              <w:right w:val="nil"/>
            </w:tcBorders>
          </w:tcPr>
          <w:p w14:paraId="6B47DA87" w14:textId="32721BE2"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-0.0004</w:t>
            </w:r>
          </w:p>
        </w:tc>
      </w:tr>
      <w:tr w:rsidR="00D55544" w:rsidRPr="00EE7169" w14:paraId="44927879" w14:textId="3F1F7743" w:rsidTr="00D55544">
        <w:trPr>
          <w:jc w:val="center"/>
        </w:trPr>
        <w:tc>
          <w:tcPr>
            <w:tcW w:w="754" w:type="pct"/>
            <w:vMerge/>
            <w:tcBorders>
              <w:left w:val="nil"/>
              <w:bottom w:val="nil"/>
              <w:right w:val="nil"/>
            </w:tcBorders>
          </w:tcPr>
          <w:p w14:paraId="6CE532DB" w14:textId="77777777"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p>
        </w:tc>
        <w:tc>
          <w:tcPr>
            <w:tcW w:w="512" w:type="pct"/>
            <w:tcBorders>
              <w:top w:val="nil"/>
              <w:left w:val="nil"/>
              <w:bottom w:val="nil"/>
              <w:right w:val="nil"/>
            </w:tcBorders>
          </w:tcPr>
          <w:p w14:paraId="2FDCE788" w14:textId="6145366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(0.0010)</w:t>
            </w:r>
          </w:p>
        </w:tc>
        <w:tc>
          <w:tcPr>
            <w:tcW w:w="632" w:type="pct"/>
            <w:tcBorders>
              <w:top w:val="nil"/>
              <w:left w:val="nil"/>
              <w:bottom w:val="nil"/>
              <w:right w:val="nil"/>
            </w:tcBorders>
          </w:tcPr>
          <w:p w14:paraId="50317C91" w14:textId="263F4B39"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(0.0036)</w:t>
            </w:r>
          </w:p>
        </w:tc>
        <w:tc>
          <w:tcPr>
            <w:tcW w:w="512" w:type="pct"/>
            <w:tcBorders>
              <w:top w:val="nil"/>
              <w:left w:val="nil"/>
              <w:bottom w:val="nil"/>
              <w:right w:val="nil"/>
            </w:tcBorders>
          </w:tcPr>
          <w:p w14:paraId="08F6034E" w14:textId="65358DB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(0.0013)</w:t>
            </w:r>
          </w:p>
        </w:tc>
        <w:tc>
          <w:tcPr>
            <w:tcW w:w="493" w:type="pct"/>
            <w:tcBorders>
              <w:top w:val="nil"/>
              <w:left w:val="nil"/>
              <w:bottom w:val="nil"/>
              <w:right w:val="nil"/>
            </w:tcBorders>
          </w:tcPr>
          <w:p w14:paraId="48AB1C81" w14:textId="1D74127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(0.0009)</w:t>
            </w:r>
          </w:p>
        </w:tc>
        <w:tc>
          <w:tcPr>
            <w:tcW w:w="546" w:type="pct"/>
            <w:tcBorders>
              <w:top w:val="nil"/>
              <w:left w:val="nil"/>
              <w:bottom w:val="nil"/>
              <w:right w:val="nil"/>
            </w:tcBorders>
          </w:tcPr>
          <w:p w14:paraId="71574E30" w14:textId="79E2912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(0.0011)</w:t>
            </w:r>
          </w:p>
        </w:tc>
        <w:tc>
          <w:tcPr>
            <w:tcW w:w="493" w:type="pct"/>
            <w:tcBorders>
              <w:top w:val="nil"/>
              <w:left w:val="nil"/>
              <w:bottom w:val="nil"/>
              <w:right w:val="nil"/>
            </w:tcBorders>
          </w:tcPr>
          <w:p w14:paraId="6771615E" w14:textId="1CF8369B"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-0.0005</w:t>
            </w:r>
          </w:p>
        </w:tc>
        <w:tc>
          <w:tcPr>
            <w:tcW w:w="565" w:type="pct"/>
            <w:tcBorders>
              <w:top w:val="nil"/>
              <w:left w:val="nil"/>
              <w:bottom w:val="nil"/>
              <w:right w:val="nil"/>
            </w:tcBorders>
          </w:tcPr>
          <w:p w14:paraId="03B1518E" w14:textId="450C7301"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(0.0026)</w:t>
            </w:r>
          </w:p>
        </w:tc>
        <w:tc>
          <w:tcPr>
            <w:tcW w:w="493" w:type="pct"/>
            <w:tcBorders>
              <w:top w:val="nil"/>
              <w:left w:val="nil"/>
              <w:bottom w:val="nil"/>
              <w:right w:val="nil"/>
            </w:tcBorders>
          </w:tcPr>
          <w:p w14:paraId="51442746" w14:textId="123E5EC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(0.0023)</w:t>
            </w:r>
          </w:p>
        </w:tc>
      </w:tr>
      <w:tr w:rsidR="00D55544" w:rsidRPr="00EE7169" w14:paraId="6DBC93A2" w14:textId="6AB525ED" w:rsidTr="00D55544">
        <w:trPr>
          <w:jc w:val="center"/>
        </w:trPr>
        <w:tc>
          <w:tcPr>
            <w:tcW w:w="754" w:type="pct"/>
            <w:vMerge w:val="restart"/>
            <w:tcBorders>
              <w:top w:val="nil"/>
              <w:left w:val="nil"/>
              <w:right w:val="nil"/>
            </w:tcBorders>
          </w:tcPr>
          <w:p w14:paraId="4224832A" w14:textId="63174507" w:rsidR="00D55544" w:rsidRPr="00EE7169" w:rsidRDefault="00D55544" w:rsidP="00426F31">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Distance</w:t>
            </w:r>
            <w:r w:rsidRPr="00EE7169">
              <w:rPr>
                <w:rFonts w:ascii="Garamond" w:hAnsi="Garamond"/>
                <w:kern w:val="0"/>
                <w:sz w:val="20"/>
                <w:szCs w:val="20"/>
                <w:vertAlign w:val="subscript"/>
              </w:rPr>
              <w:t xml:space="preserve"> (t-1)</w:t>
            </w:r>
            <w:r w:rsidRPr="00EE7169">
              <w:rPr>
                <w:rFonts w:ascii="Garamond" w:hAnsi="Garamond"/>
                <w:kern w:val="0"/>
                <w:sz w:val="20"/>
                <w:szCs w:val="20"/>
              </w:rPr>
              <w:t xml:space="preserve"> * Information Intensity</w:t>
            </w:r>
          </w:p>
        </w:tc>
        <w:tc>
          <w:tcPr>
            <w:tcW w:w="512" w:type="pct"/>
            <w:tcBorders>
              <w:top w:val="nil"/>
              <w:left w:val="nil"/>
              <w:bottom w:val="nil"/>
              <w:right w:val="nil"/>
            </w:tcBorders>
          </w:tcPr>
          <w:p w14:paraId="0DC8A77F" w14:textId="364F8DB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-0.0003***</w:t>
            </w:r>
          </w:p>
        </w:tc>
        <w:tc>
          <w:tcPr>
            <w:tcW w:w="632" w:type="pct"/>
            <w:tcBorders>
              <w:top w:val="nil"/>
              <w:left w:val="nil"/>
              <w:bottom w:val="nil"/>
              <w:right w:val="nil"/>
            </w:tcBorders>
          </w:tcPr>
          <w:p w14:paraId="1AB5C926" w14:textId="3C6A037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-0.0017***</w:t>
            </w:r>
          </w:p>
        </w:tc>
        <w:tc>
          <w:tcPr>
            <w:tcW w:w="512" w:type="pct"/>
            <w:tcBorders>
              <w:top w:val="nil"/>
              <w:left w:val="nil"/>
              <w:bottom w:val="nil"/>
              <w:right w:val="nil"/>
            </w:tcBorders>
          </w:tcPr>
          <w:p w14:paraId="784D0CE7" w14:textId="7C05F5C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-0.0005***</w:t>
            </w:r>
          </w:p>
        </w:tc>
        <w:tc>
          <w:tcPr>
            <w:tcW w:w="493" w:type="pct"/>
            <w:tcBorders>
              <w:top w:val="nil"/>
              <w:left w:val="nil"/>
              <w:bottom w:val="nil"/>
              <w:right w:val="nil"/>
            </w:tcBorders>
          </w:tcPr>
          <w:p w14:paraId="65CE6051" w14:textId="3AB7D14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0.0730**</w:t>
            </w:r>
          </w:p>
        </w:tc>
        <w:tc>
          <w:tcPr>
            <w:tcW w:w="546" w:type="pct"/>
            <w:tcBorders>
              <w:top w:val="nil"/>
              <w:left w:val="nil"/>
              <w:bottom w:val="nil"/>
              <w:right w:val="nil"/>
            </w:tcBorders>
          </w:tcPr>
          <w:p w14:paraId="1356C22D" w14:textId="445F6EB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0.0192**</w:t>
            </w:r>
          </w:p>
        </w:tc>
        <w:tc>
          <w:tcPr>
            <w:tcW w:w="493" w:type="pct"/>
            <w:tcBorders>
              <w:top w:val="nil"/>
              <w:left w:val="nil"/>
              <w:bottom w:val="nil"/>
              <w:right w:val="nil"/>
            </w:tcBorders>
          </w:tcPr>
          <w:p w14:paraId="3951F192" w14:textId="1C27BE53"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0.0055***</w:t>
            </w:r>
          </w:p>
        </w:tc>
        <w:tc>
          <w:tcPr>
            <w:tcW w:w="565" w:type="pct"/>
            <w:tcBorders>
              <w:top w:val="nil"/>
              <w:left w:val="nil"/>
              <w:bottom w:val="nil"/>
              <w:right w:val="nil"/>
            </w:tcBorders>
          </w:tcPr>
          <w:p w14:paraId="17AD4855" w14:textId="3BBD271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0.0062***</w:t>
            </w:r>
          </w:p>
        </w:tc>
        <w:tc>
          <w:tcPr>
            <w:tcW w:w="493" w:type="pct"/>
            <w:tcBorders>
              <w:top w:val="nil"/>
              <w:left w:val="nil"/>
              <w:bottom w:val="nil"/>
              <w:right w:val="nil"/>
            </w:tcBorders>
          </w:tcPr>
          <w:p w14:paraId="20DACD79" w14:textId="62911B8E"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0.0058***</w:t>
            </w:r>
          </w:p>
        </w:tc>
      </w:tr>
      <w:tr w:rsidR="00D55544" w:rsidRPr="00EE7169" w14:paraId="0A20B6FA" w14:textId="4B7463D4" w:rsidTr="00D55544">
        <w:trPr>
          <w:jc w:val="center"/>
        </w:trPr>
        <w:tc>
          <w:tcPr>
            <w:tcW w:w="754" w:type="pct"/>
            <w:vMerge/>
            <w:tcBorders>
              <w:left w:val="nil"/>
              <w:bottom w:val="nil"/>
              <w:right w:val="nil"/>
            </w:tcBorders>
          </w:tcPr>
          <w:p w14:paraId="767894E0" w14:textId="77777777"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p>
        </w:tc>
        <w:tc>
          <w:tcPr>
            <w:tcW w:w="512" w:type="pct"/>
            <w:tcBorders>
              <w:top w:val="nil"/>
              <w:left w:val="nil"/>
              <w:bottom w:val="nil"/>
              <w:right w:val="nil"/>
            </w:tcBorders>
          </w:tcPr>
          <w:p w14:paraId="0AF44C4A" w14:textId="77A9DFDB"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(0.0000)</w:t>
            </w:r>
          </w:p>
        </w:tc>
        <w:tc>
          <w:tcPr>
            <w:tcW w:w="632" w:type="pct"/>
            <w:tcBorders>
              <w:top w:val="nil"/>
              <w:left w:val="nil"/>
              <w:bottom w:val="nil"/>
              <w:right w:val="nil"/>
            </w:tcBorders>
          </w:tcPr>
          <w:p w14:paraId="5031E5D8" w14:textId="4A149AB7"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(0.0004)</w:t>
            </w:r>
          </w:p>
        </w:tc>
        <w:tc>
          <w:tcPr>
            <w:tcW w:w="512" w:type="pct"/>
            <w:tcBorders>
              <w:top w:val="nil"/>
              <w:left w:val="nil"/>
              <w:bottom w:val="nil"/>
              <w:right w:val="nil"/>
            </w:tcBorders>
          </w:tcPr>
          <w:p w14:paraId="577CC563" w14:textId="0BB276D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(0.0002)</w:t>
            </w:r>
          </w:p>
        </w:tc>
        <w:tc>
          <w:tcPr>
            <w:tcW w:w="493" w:type="pct"/>
            <w:tcBorders>
              <w:top w:val="nil"/>
              <w:left w:val="nil"/>
              <w:bottom w:val="nil"/>
              <w:right w:val="nil"/>
            </w:tcBorders>
          </w:tcPr>
          <w:p w14:paraId="591F708C" w14:textId="38E345F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(0.0327)</w:t>
            </w:r>
          </w:p>
        </w:tc>
        <w:tc>
          <w:tcPr>
            <w:tcW w:w="546" w:type="pct"/>
            <w:tcBorders>
              <w:top w:val="nil"/>
              <w:left w:val="nil"/>
              <w:bottom w:val="nil"/>
              <w:right w:val="nil"/>
            </w:tcBorders>
          </w:tcPr>
          <w:p w14:paraId="4E522FB6" w14:textId="73DB090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(0.0079)</w:t>
            </w:r>
          </w:p>
        </w:tc>
        <w:tc>
          <w:tcPr>
            <w:tcW w:w="493" w:type="pct"/>
            <w:tcBorders>
              <w:top w:val="nil"/>
              <w:left w:val="nil"/>
              <w:bottom w:val="nil"/>
              <w:right w:val="nil"/>
            </w:tcBorders>
          </w:tcPr>
          <w:p w14:paraId="262D9782" w14:textId="34F52CD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(0.0016)</w:t>
            </w:r>
          </w:p>
        </w:tc>
        <w:tc>
          <w:tcPr>
            <w:tcW w:w="565" w:type="pct"/>
            <w:tcBorders>
              <w:top w:val="nil"/>
              <w:left w:val="nil"/>
              <w:bottom w:val="nil"/>
              <w:right w:val="nil"/>
            </w:tcBorders>
          </w:tcPr>
          <w:p w14:paraId="3E1A183D" w14:textId="3CC67798"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(0.0020)</w:t>
            </w:r>
          </w:p>
        </w:tc>
        <w:tc>
          <w:tcPr>
            <w:tcW w:w="493" w:type="pct"/>
            <w:tcBorders>
              <w:top w:val="nil"/>
              <w:left w:val="nil"/>
              <w:bottom w:val="nil"/>
              <w:right w:val="nil"/>
            </w:tcBorders>
          </w:tcPr>
          <w:p w14:paraId="5645AE1E" w14:textId="24E6D83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(0.0017)</w:t>
            </w:r>
          </w:p>
        </w:tc>
      </w:tr>
      <w:tr w:rsidR="00D55544" w:rsidRPr="00EE7169" w14:paraId="0AF29042" w14:textId="256640AB" w:rsidTr="00D55544">
        <w:trPr>
          <w:jc w:val="center"/>
        </w:trPr>
        <w:tc>
          <w:tcPr>
            <w:tcW w:w="754" w:type="pct"/>
            <w:vMerge w:val="restart"/>
            <w:tcBorders>
              <w:top w:val="nil"/>
              <w:left w:val="nil"/>
              <w:right w:val="nil"/>
            </w:tcBorders>
          </w:tcPr>
          <w:p w14:paraId="24184DFE" w14:textId="2B8847F8" w:rsidR="00D55544" w:rsidRPr="00EE7169" w:rsidRDefault="00D55544" w:rsidP="00D61A71">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Information Intensity</w:t>
            </w:r>
          </w:p>
        </w:tc>
        <w:tc>
          <w:tcPr>
            <w:tcW w:w="512" w:type="pct"/>
            <w:tcBorders>
              <w:top w:val="nil"/>
              <w:left w:val="nil"/>
              <w:bottom w:val="nil"/>
              <w:right w:val="nil"/>
            </w:tcBorders>
          </w:tcPr>
          <w:p w14:paraId="5374D374" w14:textId="0722CB3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0.0014***</w:t>
            </w:r>
          </w:p>
        </w:tc>
        <w:tc>
          <w:tcPr>
            <w:tcW w:w="632" w:type="pct"/>
            <w:tcBorders>
              <w:top w:val="nil"/>
              <w:left w:val="nil"/>
              <w:bottom w:val="nil"/>
              <w:right w:val="nil"/>
            </w:tcBorders>
          </w:tcPr>
          <w:p w14:paraId="5CCE226F" w14:textId="1380433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-0.0010</w:t>
            </w:r>
          </w:p>
        </w:tc>
        <w:tc>
          <w:tcPr>
            <w:tcW w:w="512" w:type="pct"/>
            <w:tcBorders>
              <w:top w:val="nil"/>
              <w:left w:val="nil"/>
              <w:bottom w:val="nil"/>
              <w:right w:val="nil"/>
            </w:tcBorders>
          </w:tcPr>
          <w:p w14:paraId="5A8A85C6" w14:textId="5884C0C9"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0.0022</w:t>
            </w:r>
          </w:p>
        </w:tc>
        <w:tc>
          <w:tcPr>
            <w:tcW w:w="493" w:type="pct"/>
            <w:tcBorders>
              <w:top w:val="nil"/>
              <w:left w:val="nil"/>
              <w:bottom w:val="nil"/>
              <w:right w:val="nil"/>
            </w:tcBorders>
          </w:tcPr>
          <w:p w14:paraId="43E0DC3C" w14:textId="01FFD3A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-0.3068**</w:t>
            </w:r>
          </w:p>
        </w:tc>
        <w:tc>
          <w:tcPr>
            <w:tcW w:w="546" w:type="pct"/>
            <w:tcBorders>
              <w:top w:val="nil"/>
              <w:left w:val="nil"/>
              <w:bottom w:val="nil"/>
              <w:right w:val="nil"/>
            </w:tcBorders>
          </w:tcPr>
          <w:p w14:paraId="2B61D51E" w14:textId="470263B7"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-0.1140**</w:t>
            </w:r>
          </w:p>
        </w:tc>
        <w:tc>
          <w:tcPr>
            <w:tcW w:w="493" w:type="pct"/>
            <w:tcBorders>
              <w:top w:val="nil"/>
              <w:left w:val="nil"/>
              <w:bottom w:val="nil"/>
              <w:right w:val="nil"/>
            </w:tcBorders>
          </w:tcPr>
          <w:p w14:paraId="246DD47F" w14:textId="41B84F3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-0.0286**</w:t>
            </w:r>
          </w:p>
        </w:tc>
        <w:tc>
          <w:tcPr>
            <w:tcW w:w="565" w:type="pct"/>
            <w:tcBorders>
              <w:top w:val="nil"/>
              <w:left w:val="nil"/>
              <w:bottom w:val="nil"/>
              <w:right w:val="nil"/>
            </w:tcBorders>
          </w:tcPr>
          <w:p w14:paraId="247DD8CA" w14:textId="56C4458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-0.0312**</w:t>
            </w:r>
          </w:p>
        </w:tc>
        <w:tc>
          <w:tcPr>
            <w:tcW w:w="493" w:type="pct"/>
            <w:tcBorders>
              <w:top w:val="nil"/>
              <w:left w:val="nil"/>
              <w:bottom w:val="nil"/>
              <w:right w:val="nil"/>
            </w:tcBorders>
          </w:tcPr>
          <w:p w14:paraId="052489A7" w14:textId="42AD182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-0.0289**</w:t>
            </w:r>
          </w:p>
        </w:tc>
      </w:tr>
      <w:tr w:rsidR="00D55544" w:rsidRPr="00EE7169" w14:paraId="1E754E73" w14:textId="457C68A3" w:rsidTr="00D55544">
        <w:trPr>
          <w:jc w:val="center"/>
        </w:trPr>
        <w:tc>
          <w:tcPr>
            <w:tcW w:w="754" w:type="pct"/>
            <w:vMerge/>
            <w:tcBorders>
              <w:left w:val="nil"/>
              <w:bottom w:val="nil"/>
              <w:right w:val="nil"/>
            </w:tcBorders>
          </w:tcPr>
          <w:p w14:paraId="1694E369" w14:textId="77777777"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p>
        </w:tc>
        <w:tc>
          <w:tcPr>
            <w:tcW w:w="512" w:type="pct"/>
            <w:tcBorders>
              <w:top w:val="nil"/>
              <w:left w:val="nil"/>
              <w:bottom w:val="nil"/>
              <w:right w:val="nil"/>
            </w:tcBorders>
          </w:tcPr>
          <w:p w14:paraId="68E4E5CB" w14:textId="601A4A92"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(0.0004)</w:t>
            </w:r>
          </w:p>
        </w:tc>
        <w:tc>
          <w:tcPr>
            <w:tcW w:w="632" w:type="pct"/>
            <w:tcBorders>
              <w:top w:val="nil"/>
              <w:left w:val="nil"/>
              <w:bottom w:val="nil"/>
              <w:right w:val="nil"/>
            </w:tcBorders>
          </w:tcPr>
          <w:p w14:paraId="42010576" w14:textId="3A9E40B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(0.0072)</w:t>
            </w:r>
          </w:p>
        </w:tc>
        <w:tc>
          <w:tcPr>
            <w:tcW w:w="512" w:type="pct"/>
            <w:tcBorders>
              <w:top w:val="nil"/>
              <w:left w:val="nil"/>
              <w:bottom w:val="nil"/>
              <w:right w:val="nil"/>
            </w:tcBorders>
          </w:tcPr>
          <w:p w14:paraId="5FB87074" w14:textId="77E4B3D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(0.0030)</w:t>
            </w:r>
          </w:p>
        </w:tc>
        <w:tc>
          <w:tcPr>
            <w:tcW w:w="493" w:type="pct"/>
            <w:tcBorders>
              <w:top w:val="nil"/>
              <w:left w:val="nil"/>
              <w:bottom w:val="nil"/>
              <w:right w:val="nil"/>
            </w:tcBorders>
          </w:tcPr>
          <w:p w14:paraId="305094DC" w14:textId="4E683723"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(0.1488)</w:t>
            </w:r>
          </w:p>
        </w:tc>
        <w:tc>
          <w:tcPr>
            <w:tcW w:w="546" w:type="pct"/>
            <w:tcBorders>
              <w:top w:val="nil"/>
              <w:left w:val="nil"/>
              <w:bottom w:val="nil"/>
              <w:right w:val="nil"/>
            </w:tcBorders>
          </w:tcPr>
          <w:p w14:paraId="36B46F0F" w14:textId="05835EAB"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(0.0479)</w:t>
            </w:r>
          </w:p>
        </w:tc>
        <w:tc>
          <w:tcPr>
            <w:tcW w:w="493" w:type="pct"/>
            <w:tcBorders>
              <w:top w:val="nil"/>
              <w:left w:val="nil"/>
              <w:bottom w:val="nil"/>
              <w:right w:val="nil"/>
            </w:tcBorders>
          </w:tcPr>
          <w:p w14:paraId="1E6B75EB" w14:textId="1BD36DD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(0.0117)</w:t>
            </w:r>
          </w:p>
        </w:tc>
        <w:tc>
          <w:tcPr>
            <w:tcW w:w="565" w:type="pct"/>
            <w:tcBorders>
              <w:top w:val="nil"/>
              <w:left w:val="nil"/>
              <w:bottom w:val="nil"/>
              <w:right w:val="nil"/>
            </w:tcBorders>
          </w:tcPr>
          <w:p w14:paraId="1B97827A" w14:textId="1929689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(0.0140)</w:t>
            </w:r>
          </w:p>
        </w:tc>
        <w:tc>
          <w:tcPr>
            <w:tcW w:w="493" w:type="pct"/>
            <w:tcBorders>
              <w:top w:val="nil"/>
              <w:left w:val="nil"/>
              <w:bottom w:val="nil"/>
              <w:right w:val="nil"/>
            </w:tcBorders>
          </w:tcPr>
          <w:p w14:paraId="4BF81773" w14:textId="649D0A2B"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(0.0122)</w:t>
            </w:r>
          </w:p>
        </w:tc>
      </w:tr>
      <w:tr w:rsidR="00D55544" w:rsidRPr="00EE7169" w14:paraId="1106F6B4" w14:textId="54362738" w:rsidTr="00D55544">
        <w:trPr>
          <w:jc w:val="center"/>
        </w:trPr>
        <w:tc>
          <w:tcPr>
            <w:tcW w:w="754" w:type="pct"/>
            <w:tcBorders>
              <w:left w:val="nil"/>
              <w:bottom w:val="nil"/>
              <w:right w:val="nil"/>
            </w:tcBorders>
          </w:tcPr>
          <w:p w14:paraId="5D5E185C" w14:textId="23BC8224"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Other control variables</w:t>
            </w:r>
          </w:p>
        </w:tc>
        <w:tc>
          <w:tcPr>
            <w:tcW w:w="512" w:type="pct"/>
            <w:tcBorders>
              <w:top w:val="nil"/>
              <w:left w:val="nil"/>
              <w:bottom w:val="nil"/>
              <w:right w:val="nil"/>
            </w:tcBorders>
          </w:tcPr>
          <w:p w14:paraId="7DD96107" w14:textId="0CC7EAD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632" w:type="pct"/>
            <w:tcBorders>
              <w:top w:val="nil"/>
              <w:left w:val="nil"/>
              <w:bottom w:val="nil"/>
              <w:right w:val="nil"/>
            </w:tcBorders>
          </w:tcPr>
          <w:p w14:paraId="7C3AC368" w14:textId="34EF63F1"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12" w:type="pct"/>
            <w:tcBorders>
              <w:top w:val="nil"/>
              <w:left w:val="nil"/>
              <w:bottom w:val="nil"/>
              <w:right w:val="nil"/>
            </w:tcBorders>
          </w:tcPr>
          <w:p w14:paraId="20C9B189" w14:textId="54F75DD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176C410E" w14:textId="439E08F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46" w:type="pct"/>
            <w:tcBorders>
              <w:top w:val="nil"/>
              <w:left w:val="nil"/>
              <w:bottom w:val="nil"/>
              <w:right w:val="nil"/>
            </w:tcBorders>
          </w:tcPr>
          <w:p w14:paraId="24199DA2" w14:textId="2D5C53EB"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2F088523" w14:textId="1E8309BF"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65" w:type="pct"/>
            <w:tcBorders>
              <w:top w:val="nil"/>
              <w:left w:val="nil"/>
              <w:bottom w:val="nil"/>
              <w:right w:val="nil"/>
            </w:tcBorders>
          </w:tcPr>
          <w:p w14:paraId="74E85B64" w14:textId="5F2CD17F"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2F86DBC6" w14:textId="5D15FDF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r>
      <w:tr w:rsidR="00D55544" w:rsidRPr="00EE7169" w14:paraId="2B92270C" w14:textId="4C8E1364" w:rsidTr="00D55544">
        <w:trPr>
          <w:jc w:val="center"/>
        </w:trPr>
        <w:tc>
          <w:tcPr>
            <w:tcW w:w="754" w:type="pct"/>
            <w:tcBorders>
              <w:left w:val="nil"/>
              <w:bottom w:val="nil"/>
              <w:right w:val="nil"/>
            </w:tcBorders>
          </w:tcPr>
          <w:p w14:paraId="3E701FAB" w14:textId="5DE56E87"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Oversight government dummies</w:t>
            </w:r>
          </w:p>
        </w:tc>
        <w:tc>
          <w:tcPr>
            <w:tcW w:w="512" w:type="pct"/>
            <w:tcBorders>
              <w:top w:val="nil"/>
              <w:left w:val="nil"/>
              <w:bottom w:val="nil"/>
              <w:right w:val="nil"/>
            </w:tcBorders>
          </w:tcPr>
          <w:p w14:paraId="6E7BA727" w14:textId="679C4D27"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632" w:type="pct"/>
            <w:tcBorders>
              <w:top w:val="nil"/>
              <w:left w:val="nil"/>
              <w:bottom w:val="nil"/>
              <w:right w:val="nil"/>
            </w:tcBorders>
          </w:tcPr>
          <w:p w14:paraId="1BD570D5" w14:textId="5ED9F50F"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12" w:type="pct"/>
            <w:tcBorders>
              <w:top w:val="nil"/>
              <w:left w:val="nil"/>
              <w:bottom w:val="nil"/>
              <w:right w:val="nil"/>
            </w:tcBorders>
          </w:tcPr>
          <w:p w14:paraId="1D88A14E" w14:textId="30D795A3"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18C880AD" w14:textId="74ACA02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46" w:type="pct"/>
            <w:tcBorders>
              <w:top w:val="nil"/>
              <w:left w:val="nil"/>
              <w:bottom w:val="nil"/>
              <w:right w:val="nil"/>
            </w:tcBorders>
          </w:tcPr>
          <w:p w14:paraId="5D1BCBF9" w14:textId="4A0C1DAF"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5EFD29EA" w14:textId="05C12101"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65" w:type="pct"/>
            <w:tcBorders>
              <w:top w:val="nil"/>
              <w:left w:val="nil"/>
              <w:bottom w:val="nil"/>
              <w:right w:val="nil"/>
            </w:tcBorders>
          </w:tcPr>
          <w:p w14:paraId="313DD146" w14:textId="51510DCB"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0F41D75D" w14:textId="2FBCAB4C"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r>
      <w:tr w:rsidR="00D55544" w:rsidRPr="00EE7169" w14:paraId="79EEDEBD" w14:textId="42E6C806" w:rsidTr="00D55544">
        <w:trPr>
          <w:jc w:val="center"/>
        </w:trPr>
        <w:tc>
          <w:tcPr>
            <w:tcW w:w="754" w:type="pct"/>
            <w:tcBorders>
              <w:left w:val="nil"/>
              <w:bottom w:val="nil"/>
              <w:right w:val="nil"/>
            </w:tcBorders>
          </w:tcPr>
          <w:p w14:paraId="36D2E69E" w14:textId="2D8AFE96"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Year dummies</w:t>
            </w:r>
          </w:p>
        </w:tc>
        <w:tc>
          <w:tcPr>
            <w:tcW w:w="512" w:type="pct"/>
            <w:tcBorders>
              <w:top w:val="nil"/>
              <w:left w:val="nil"/>
              <w:bottom w:val="nil"/>
              <w:right w:val="nil"/>
            </w:tcBorders>
          </w:tcPr>
          <w:p w14:paraId="53E60BF2" w14:textId="4855922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632" w:type="pct"/>
            <w:tcBorders>
              <w:top w:val="nil"/>
              <w:left w:val="nil"/>
              <w:bottom w:val="nil"/>
              <w:right w:val="nil"/>
            </w:tcBorders>
          </w:tcPr>
          <w:p w14:paraId="1BF30D01" w14:textId="6A9B187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12" w:type="pct"/>
            <w:tcBorders>
              <w:top w:val="nil"/>
              <w:left w:val="nil"/>
              <w:bottom w:val="nil"/>
              <w:right w:val="nil"/>
            </w:tcBorders>
          </w:tcPr>
          <w:p w14:paraId="4404ED62" w14:textId="59945F3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3B6526DE" w14:textId="1DA0FC8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46" w:type="pct"/>
            <w:tcBorders>
              <w:top w:val="nil"/>
              <w:left w:val="nil"/>
              <w:bottom w:val="nil"/>
              <w:right w:val="nil"/>
            </w:tcBorders>
          </w:tcPr>
          <w:p w14:paraId="05D3FC8A" w14:textId="4DDBAF12"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3290F854" w14:textId="0E6CFA88"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565" w:type="pct"/>
            <w:tcBorders>
              <w:top w:val="nil"/>
              <w:left w:val="nil"/>
              <w:bottom w:val="nil"/>
              <w:right w:val="nil"/>
            </w:tcBorders>
          </w:tcPr>
          <w:p w14:paraId="7E9374A5" w14:textId="68FC8128"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c>
          <w:tcPr>
            <w:tcW w:w="493" w:type="pct"/>
            <w:tcBorders>
              <w:top w:val="nil"/>
              <w:left w:val="nil"/>
              <w:bottom w:val="nil"/>
              <w:right w:val="nil"/>
            </w:tcBorders>
          </w:tcPr>
          <w:p w14:paraId="6609F187" w14:textId="74044FC8"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YES</w:t>
            </w:r>
          </w:p>
        </w:tc>
      </w:tr>
      <w:tr w:rsidR="00D55544" w:rsidRPr="00EE7169" w14:paraId="639D0341" w14:textId="1CF3E799" w:rsidTr="00D55544">
        <w:trPr>
          <w:jc w:val="center"/>
        </w:trPr>
        <w:tc>
          <w:tcPr>
            <w:tcW w:w="754" w:type="pct"/>
            <w:tcBorders>
              <w:left w:val="nil"/>
              <w:bottom w:val="nil"/>
              <w:right w:val="nil"/>
            </w:tcBorders>
          </w:tcPr>
          <w:p w14:paraId="3A8213B3" w14:textId="77777777"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Observations</w:t>
            </w:r>
          </w:p>
        </w:tc>
        <w:tc>
          <w:tcPr>
            <w:tcW w:w="512" w:type="pct"/>
            <w:tcBorders>
              <w:top w:val="nil"/>
              <w:left w:val="nil"/>
              <w:bottom w:val="nil"/>
              <w:right w:val="nil"/>
            </w:tcBorders>
          </w:tcPr>
          <w:p w14:paraId="2B3A7EAA" w14:textId="2DDC68A7"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41,684</w:t>
            </w:r>
          </w:p>
        </w:tc>
        <w:tc>
          <w:tcPr>
            <w:tcW w:w="632" w:type="pct"/>
            <w:tcBorders>
              <w:top w:val="nil"/>
              <w:left w:val="nil"/>
              <w:bottom w:val="nil"/>
              <w:right w:val="nil"/>
            </w:tcBorders>
          </w:tcPr>
          <w:p w14:paraId="6DEC0339" w14:textId="1890B39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41,684</w:t>
            </w:r>
          </w:p>
        </w:tc>
        <w:tc>
          <w:tcPr>
            <w:tcW w:w="512" w:type="pct"/>
            <w:tcBorders>
              <w:top w:val="nil"/>
              <w:left w:val="nil"/>
              <w:bottom w:val="nil"/>
              <w:right w:val="nil"/>
            </w:tcBorders>
          </w:tcPr>
          <w:p w14:paraId="69B00AAF" w14:textId="02475C7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41,684</w:t>
            </w:r>
          </w:p>
        </w:tc>
        <w:tc>
          <w:tcPr>
            <w:tcW w:w="493" w:type="pct"/>
            <w:tcBorders>
              <w:top w:val="nil"/>
              <w:left w:val="nil"/>
              <w:bottom w:val="nil"/>
              <w:right w:val="nil"/>
            </w:tcBorders>
          </w:tcPr>
          <w:p w14:paraId="7E1A01EB" w14:textId="0C13ABBC"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41,681</w:t>
            </w:r>
          </w:p>
        </w:tc>
        <w:tc>
          <w:tcPr>
            <w:tcW w:w="546" w:type="pct"/>
            <w:tcBorders>
              <w:top w:val="nil"/>
              <w:left w:val="nil"/>
              <w:bottom w:val="nil"/>
              <w:right w:val="nil"/>
            </w:tcBorders>
          </w:tcPr>
          <w:p w14:paraId="04C538BA" w14:textId="1F168D71"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41,684</w:t>
            </w:r>
          </w:p>
        </w:tc>
        <w:tc>
          <w:tcPr>
            <w:tcW w:w="493" w:type="pct"/>
            <w:tcBorders>
              <w:top w:val="nil"/>
              <w:left w:val="nil"/>
              <w:bottom w:val="nil"/>
              <w:right w:val="nil"/>
            </w:tcBorders>
          </w:tcPr>
          <w:p w14:paraId="46C87D1F" w14:textId="7DEFB9B3"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41,684</w:t>
            </w:r>
          </w:p>
        </w:tc>
        <w:tc>
          <w:tcPr>
            <w:tcW w:w="565" w:type="pct"/>
            <w:tcBorders>
              <w:top w:val="nil"/>
              <w:left w:val="nil"/>
              <w:bottom w:val="nil"/>
              <w:right w:val="nil"/>
            </w:tcBorders>
          </w:tcPr>
          <w:p w14:paraId="1474E5B5" w14:textId="44A6FCE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35,660</w:t>
            </w:r>
          </w:p>
        </w:tc>
        <w:tc>
          <w:tcPr>
            <w:tcW w:w="493" w:type="pct"/>
            <w:tcBorders>
              <w:top w:val="nil"/>
              <w:left w:val="nil"/>
              <w:bottom w:val="nil"/>
              <w:right w:val="nil"/>
            </w:tcBorders>
          </w:tcPr>
          <w:p w14:paraId="27F3B294" w14:textId="10A2DA2D"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41,684</w:t>
            </w:r>
          </w:p>
        </w:tc>
      </w:tr>
      <w:tr w:rsidR="00D55544" w:rsidRPr="00EE7169" w14:paraId="7031A012" w14:textId="693692FF" w:rsidTr="00D55544">
        <w:tblPrEx>
          <w:tblBorders>
            <w:bottom w:val="single" w:sz="6" w:space="0" w:color="auto"/>
          </w:tblBorders>
        </w:tblPrEx>
        <w:trPr>
          <w:jc w:val="center"/>
        </w:trPr>
        <w:tc>
          <w:tcPr>
            <w:tcW w:w="754" w:type="pct"/>
            <w:tcBorders>
              <w:top w:val="nil"/>
              <w:left w:val="nil"/>
              <w:bottom w:val="single" w:sz="6" w:space="0" w:color="auto"/>
              <w:right w:val="nil"/>
            </w:tcBorders>
          </w:tcPr>
          <w:p w14:paraId="1992BECA" w14:textId="77777777" w:rsidR="00D55544" w:rsidRPr="00EE7169" w:rsidRDefault="00D55544" w:rsidP="00BB5015">
            <w:pPr>
              <w:autoSpaceDE w:val="0"/>
              <w:autoSpaceDN w:val="0"/>
              <w:adjustRightInd w:val="0"/>
              <w:ind w:leftChars="6" w:left="297" w:hangingChars="142" w:hanging="284"/>
              <w:jc w:val="left"/>
              <w:rPr>
                <w:rFonts w:ascii="Garamond" w:hAnsi="Garamond"/>
                <w:kern w:val="0"/>
                <w:sz w:val="20"/>
                <w:szCs w:val="20"/>
              </w:rPr>
            </w:pPr>
            <w:r w:rsidRPr="00EE7169">
              <w:rPr>
                <w:rFonts w:ascii="Garamond" w:hAnsi="Garamond"/>
                <w:kern w:val="0"/>
                <w:sz w:val="20"/>
                <w:szCs w:val="20"/>
              </w:rPr>
              <w:t>Pseudo R2</w:t>
            </w:r>
          </w:p>
        </w:tc>
        <w:tc>
          <w:tcPr>
            <w:tcW w:w="512" w:type="pct"/>
            <w:tcBorders>
              <w:top w:val="nil"/>
              <w:left w:val="nil"/>
              <w:bottom w:val="single" w:sz="6" w:space="0" w:color="auto"/>
              <w:right w:val="nil"/>
            </w:tcBorders>
          </w:tcPr>
          <w:p w14:paraId="2DAE0D9F" w14:textId="62A2A06F"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0.123</w:t>
            </w:r>
          </w:p>
        </w:tc>
        <w:tc>
          <w:tcPr>
            <w:tcW w:w="632" w:type="pct"/>
            <w:tcBorders>
              <w:top w:val="nil"/>
              <w:left w:val="nil"/>
              <w:bottom w:val="single" w:sz="6" w:space="0" w:color="auto"/>
              <w:right w:val="nil"/>
            </w:tcBorders>
          </w:tcPr>
          <w:p w14:paraId="69A32BD3" w14:textId="06B3E1B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0.123</w:t>
            </w:r>
          </w:p>
        </w:tc>
        <w:tc>
          <w:tcPr>
            <w:tcW w:w="512" w:type="pct"/>
            <w:tcBorders>
              <w:top w:val="nil"/>
              <w:left w:val="nil"/>
              <w:bottom w:val="single" w:sz="6" w:space="0" w:color="auto"/>
              <w:right w:val="nil"/>
            </w:tcBorders>
          </w:tcPr>
          <w:p w14:paraId="319188F4" w14:textId="3DE69C5F"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0.123</w:t>
            </w:r>
          </w:p>
        </w:tc>
        <w:tc>
          <w:tcPr>
            <w:tcW w:w="493" w:type="pct"/>
            <w:tcBorders>
              <w:top w:val="nil"/>
              <w:left w:val="nil"/>
              <w:bottom w:val="single" w:sz="6" w:space="0" w:color="auto"/>
              <w:right w:val="nil"/>
            </w:tcBorders>
          </w:tcPr>
          <w:p w14:paraId="094D561F" w14:textId="2196CF0A"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0.121</w:t>
            </w:r>
          </w:p>
        </w:tc>
        <w:tc>
          <w:tcPr>
            <w:tcW w:w="546" w:type="pct"/>
            <w:tcBorders>
              <w:top w:val="nil"/>
              <w:left w:val="nil"/>
              <w:bottom w:val="single" w:sz="6" w:space="0" w:color="auto"/>
              <w:right w:val="nil"/>
            </w:tcBorders>
          </w:tcPr>
          <w:p w14:paraId="1D0BDCD9" w14:textId="225496E0"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0.121</w:t>
            </w:r>
          </w:p>
        </w:tc>
        <w:tc>
          <w:tcPr>
            <w:tcW w:w="493" w:type="pct"/>
            <w:tcBorders>
              <w:top w:val="nil"/>
              <w:left w:val="nil"/>
              <w:bottom w:val="single" w:sz="6" w:space="0" w:color="auto"/>
              <w:right w:val="nil"/>
            </w:tcBorders>
          </w:tcPr>
          <w:p w14:paraId="76ED9011" w14:textId="441F6F58"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0.121</w:t>
            </w:r>
          </w:p>
        </w:tc>
        <w:tc>
          <w:tcPr>
            <w:tcW w:w="565" w:type="pct"/>
            <w:tcBorders>
              <w:top w:val="nil"/>
              <w:left w:val="nil"/>
              <w:bottom w:val="single" w:sz="6" w:space="0" w:color="auto"/>
              <w:right w:val="nil"/>
            </w:tcBorders>
          </w:tcPr>
          <w:p w14:paraId="12BCCDD8" w14:textId="5192DA26"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0.119</w:t>
            </w:r>
          </w:p>
        </w:tc>
        <w:tc>
          <w:tcPr>
            <w:tcW w:w="493" w:type="pct"/>
            <w:tcBorders>
              <w:top w:val="nil"/>
              <w:left w:val="nil"/>
              <w:bottom w:val="single" w:sz="6" w:space="0" w:color="auto"/>
              <w:right w:val="nil"/>
            </w:tcBorders>
          </w:tcPr>
          <w:p w14:paraId="3EA2F042" w14:textId="50A05F25" w:rsidR="00D55544" w:rsidRPr="00EE7169" w:rsidRDefault="00D55544" w:rsidP="00870AEB">
            <w:pPr>
              <w:autoSpaceDE w:val="0"/>
              <w:autoSpaceDN w:val="0"/>
              <w:adjustRightInd w:val="0"/>
              <w:jc w:val="center"/>
              <w:rPr>
                <w:rFonts w:ascii="Garamond" w:hAnsi="Garamond"/>
                <w:kern w:val="0"/>
                <w:sz w:val="20"/>
                <w:szCs w:val="20"/>
              </w:rPr>
            </w:pPr>
            <w:r w:rsidRPr="00EE7169">
              <w:rPr>
                <w:rFonts w:ascii="Garamond" w:hAnsi="Garamond"/>
                <w:kern w:val="0"/>
                <w:sz w:val="20"/>
                <w:szCs w:val="20"/>
              </w:rPr>
              <w:t>0.122</w:t>
            </w:r>
          </w:p>
        </w:tc>
      </w:tr>
    </w:tbl>
    <w:p w14:paraId="27840B80" w14:textId="78669211" w:rsidR="00F50081" w:rsidRPr="00EE7169" w:rsidRDefault="00F50081" w:rsidP="00F50081">
      <w:pPr>
        <w:autoSpaceDE w:val="0"/>
        <w:autoSpaceDN w:val="0"/>
        <w:adjustRightInd w:val="0"/>
        <w:rPr>
          <w:rFonts w:ascii="Garamond" w:eastAsia="STFangsong" w:hAnsi="Garamond"/>
          <w:szCs w:val="21"/>
        </w:rPr>
      </w:pPr>
      <w:r w:rsidRPr="00EE7169">
        <w:rPr>
          <w:rFonts w:ascii="Garamond" w:eastAsia="STFangsong" w:hAnsi="Garamond"/>
          <w:szCs w:val="21"/>
        </w:rPr>
        <w:t xml:space="preserve">This table reports </w:t>
      </w:r>
      <w:r w:rsidRPr="00EE7169">
        <w:rPr>
          <w:rFonts w:ascii="Garamond" w:eastAsia="STFangsong" w:hAnsi="Garamond"/>
          <w:i/>
          <w:szCs w:val="21"/>
        </w:rPr>
        <w:t>probit</w:t>
      </w:r>
      <w:r w:rsidRPr="00EE7169">
        <w:rPr>
          <w:rFonts w:ascii="Garamond" w:eastAsia="STFangsong" w:hAnsi="Garamond"/>
          <w:szCs w:val="21"/>
        </w:rPr>
        <w:t xml:space="preserve"> regression results on the determinants of </w:t>
      </w:r>
      <w:r w:rsidRPr="00EE7169">
        <w:rPr>
          <w:rFonts w:ascii="Garamond" w:hAnsi="Garamond"/>
          <w:szCs w:val="21"/>
        </w:rPr>
        <w:t xml:space="preserve">firms’ </w:t>
      </w:r>
      <w:r w:rsidRPr="00EE7169">
        <w:rPr>
          <w:rFonts w:ascii="Garamond" w:eastAsia="STFangsong" w:hAnsi="Garamond"/>
          <w:szCs w:val="21"/>
        </w:rPr>
        <w:t xml:space="preserve">decentralization. Marginal effects evaluated at the mean and standard errors are listed. The dependent variable takes on the value of 1 if a firm is decentralized in year t, and 0 otherwise. Standard errors are clustered at the level </w:t>
      </w:r>
      <w:r w:rsidR="00BB5015" w:rsidRPr="00EE7169">
        <w:rPr>
          <w:rFonts w:ascii="Garamond" w:eastAsia="STFangsong" w:hAnsi="Garamond"/>
          <w:szCs w:val="21"/>
        </w:rPr>
        <w:t>of the same oversight government</w:t>
      </w:r>
      <w:r w:rsidRPr="00EE7169">
        <w:rPr>
          <w:rFonts w:ascii="Garamond" w:eastAsia="STFangsong" w:hAnsi="Garamond"/>
          <w:szCs w:val="21"/>
        </w:rPr>
        <w:t>.</w:t>
      </w:r>
      <w:r w:rsidRPr="00EE7169">
        <w:rPr>
          <w:rFonts w:ascii="Garamond" w:hAnsi="Garamond"/>
          <w:szCs w:val="21"/>
        </w:rPr>
        <w:t xml:space="preserve"> </w:t>
      </w:r>
      <w:r w:rsidRPr="00EE7169">
        <w:rPr>
          <w:rFonts w:ascii="Garamond" w:eastAsia="STFangsong" w:hAnsi="Garamond"/>
          <w:szCs w:val="21"/>
        </w:rPr>
        <w:t>*, ** and *** indicate statistical significance at 10%, 5% and 1% levels, respectively.</w:t>
      </w:r>
    </w:p>
    <w:p w14:paraId="687787A4" w14:textId="77777777" w:rsidR="00123A8C" w:rsidRPr="00EE7169" w:rsidRDefault="00123A8C" w:rsidP="005D32E8">
      <w:pPr>
        <w:autoSpaceDE w:val="0"/>
        <w:autoSpaceDN w:val="0"/>
        <w:adjustRightInd w:val="0"/>
        <w:jc w:val="left"/>
        <w:rPr>
          <w:rFonts w:ascii="Garamond" w:eastAsia="STFangsong" w:hAnsi="Garamond"/>
          <w:szCs w:val="21"/>
        </w:rPr>
      </w:pPr>
    </w:p>
    <w:p w14:paraId="11542F4A" w14:textId="77777777" w:rsidR="00426F31" w:rsidRPr="00EE7169" w:rsidRDefault="00426F31" w:rsidP="005D32E8">
      <w:pPr>
        <w:autoSpaceDE w:val="0"/>
        <w:autoSpaceDN w:val="0"/>
        <w:adjustRightInd w:val="0"/>
        <w:jc w:val="left"/>
        <w:rPr>
          <w:rFonts w:ascii="Garamond" w:eastAsia="STFangsong" w:hAnsi="Garamond"/>
          <w:szCs w:val="21"/>
        </w:rPr>
      </w:pPr>
    </w:p>
    <w:p w14:paraId="51697759" w14:textId="77777777" w:rsidR="00426F31" w:rsidRPr="00EE7169" w:rsidRDefault="00426F31" w:rsidP="005D32E8">
      <w:pPr>
        <w:autoSpaceDE w:val="0"/>
        <w:autoSpaceDN w:val="0"/>
        <w:adjustRightInd w:val="0"/>
        <w:jc w:val="left"/>
        <w:rPr>
          <w:rFonts w:ascii="Garamond" w:eastAsia="STFangsong" w:hAnsi="Garamond"/>
          <w:szCs w:val="21"/>
        </w:rPr>
      </w:pPr>
    </w:p>
    <w:p w14:paraId="56146447" w14:textId="77777777" w:rsidR="00426F31" w:rsidRPr="00EE7169" w:rsidRDefault="00426F31" w:rsidP="005D32E8">
      <w:pPr>
        <w:autoSpaceDE w:val="0"/>
        <w:autoSpaceDN w:val="0"/>
        <w:adjustRightInd w:val="0"/>
        <w:jc w:val="left"/>
        <w:rPr>
          <w:rFonts w:ascii="Garamond" w:eastAsia="STFangsong" w:hAnsi="Garamond"/>
          <w:szCs w:val="21"/>
        </w:rPr>
      </w:pPr>
    </w:p>
    <w:p w14:paraId="6757D48D" w14:textId="77777777" w:rsidR="00426F31" w:rsidRPr="00EE7169" w:rsidRDefault="00426F31" w:rsidP="005D32E8">
      <w:pPr>
        <w:autoSpaceDE w:val="0"/>
        <w:autoSpaceDN w:val="0"/>
        <w:adjustRightInd w:val="0"/>
        <w:jc w:val="left"/>
        <w:rPr>
          <w:rFonts w:ascii="Garamond" w:eastAsia="STFangsong" w:hAnsi="Garamond"/>
          <w:szCs w:val="21"/>
        </w:rPr>
      </w:pPr>
    </w:p>
    <w:p w14:paraId="00F06F3B" w14:textId="77777777" w:rsidR="00D61A71" w:rsidRPr="00EE7169" w:rsidRDefault="00D61A71" w:rsidP="005D32E8">
      <w:pPr>
        <w:autoSpaceDE w:val="0"/>
        <w:autoSpaceDN w:val="0"/>
        <w:adjustRightInd w:val="0"/>
        <w:jc w:val="left"/>
        <w:rPr>
          <w:rFonts w:ascii="Garamond" w:eastAsia="STFangsong" w:hAnsi="Garamond"/>
          <w:szCs w:val="21"/>
        </w:rPr>
      </w:pPr>
    </w:p>
    <w:p w14:paraId="22E7E6C1" w14:textId="77777777" w:rsidR="00D61A71" w:rsidRPr="00EE7169" w:rsidRDefault="00D61A71" w:rsidP="005D32E8">
      <w:pPr>
        <w:autoSpaceDE w:val="0"/>
        <w:autoSpaceDN w:val="0"/>
        <w:adjustRightInd w:val="0"/>
        <w:jc w:val="left"/>
        <w:rPr>
          <w:rFonts w:ascii="Garamond" w:eastAsia="STFangsong" w:hAnsi="Garamond"/>
          <w:szCs w:val="21"/>
        </w:rPr>
      </w:pPr>
    </w:p>
    <w:p w14:paraId="358C360F" w14:textId="77777777" w:rsidR="00D61A71" w:rsidRPr="00EE7169" w:rsidRDefault="00D61A71" w:rsidP="005D32E8">
      <w:pPr>
        <w:autoSpaceDE w:val="0"/>
        <w:autoSpaceDN w:val="0"/>
        <w:adjustRightInd w:val="0"/>
        <w:jc w:val="left"/>
        <w:rPr>
          <w:rFonts w:ascii="Garamond" w:eastAsia="STFangsong" w:hAnsi="Garamond"/>
          <w:szCs w:val="21"/>
        </w:rPr>
      </w:pPr>
    </w:p>
    <w:p w14:paraId="5F02A86A" w14:textId="77777777" w:rsidR="00D61A71" w:rsidRPr="00EE7169" w:rsidRDefault="00D61A71" w:rsidP="005D32E8">
      <w:pPr>
        <w:autoSpaceDE w:val="0"/>
        <w:autoSpaceDN w:val="0"/>
        <w:adjustRightInd w:val="0"/>
        <w:jc w:val="left"/>
        <w:rPr>
          <w:rFonts w:ascii="Garamond" w:eastAsia="STFangsong" w:hAnsi="Garamond"/>
          <w:szCs w:val="21"/>
        </w:rPr>
      </w:pPr>
    </w:p>
    <w:p w14:paraId="0403CD44" w14:textId="77777777" w:rsidR="00D61A71" w:rsidRPr="00EE7169" w:rsidRDefault="00D61A71" w:rsidP="005D32E8">
      <w:pPr>
        <w:autoSpaceDE w:val="0"/>
        <w:autoSpaceDN w:val="0"/>
        <w:adjustRightInd w:val="0"/>
        <w:jc w:val="left"/>
        <w:rPr>
          <w:rFonts w:ascii="Garamond" w:eastAsia="STFangsong" w:hAnsi="Garamond"/>
          <w:szCs w:val="21"/>
        </w:rPr>
      </w:pPr>
    </w:p>
    <w:p w14:paraId="20E66C9E" w14:textId="77777777" w:rsidR="00D61A71" w:rsidRPr="00EE7169" w:rsidRDefault="00D61A71" w:rsidP="005D32E8">
      <w:pPr>
        <w:autoSpaceDE w:val="0"/>
        <w:autoSpaceDN w:val="0"/>
        <w:adjustRightInd w:val="0"/>
        <w:jc w:val="left"/>
        <w:rPr>
          <w:rFonts w:ascii="Garamond" w:eastAsia="STFangsong" w:hAnsi="Garamond"/>
          <w:szCs w:val="21"/>
        </w:rPr>
      </w:pPr>
    </w:p>
    <w:p w14:paraId="42E1A4BE" w14:textId="77777777" w:rsidR="00D61A71" w:rsidRPr="00EE7169" w:rsidRDefault="00D61A71" w:rsidP="005D32E8">
      <w:pPr>
        <w:autoSpaceDE w:val="0"/>
        <w:autoSpaceDN w:val="0"/>
        <w:adjustRightInd w:val="0"/>
        <w:jc w:val="left"/>
        <w:rPr>
          <w:rFonts w:ascii="Garamond" w:eastAsia="STFangsong" w:hAnsi="Garamond"/>
          <w:szCs w:val="21"/>
        </w:rPr>
      </w:pPr>
    </w:p>
    <w:p w14:paraId="6579E177" w14:textId="77777777" w:rsidR="00D61A71" w:rsidRPr="00EE7169" w:rsidRDefault="00D61A71" w:rsidP="005D32E8">
      <w:pPr>
        <w:autoSpaceDE w:val="0"/>
        <w:autoSpaceDN w:val="0"/>
        <w:adjustRightInd w:val="0"/>
        <w:jc w:val="left"/>
        <w:rPr>
          <w:rFonts w:ascii="Garamond" w:eastAsia="STFangsong" w:hAnsi="Garamond"/>
          <w:szCs w:val="21"/>
        </w:rPr>
      </w:pPr>
    </w:p>
    <w:p w14:paraId="0FCB8746" w14:textId="77777777" w:rsidR="00D61A71" w:rsidRPr="00EE7169" w:rsidRDefault="00D61A71" w:rsidP="005D32E8">
      <w:pPr>
        <w:autoSpaceDE w:val="0"/>
        <w:autoSpaceDN w:val="0"/>
        <w:adjustRightInd w:val="0"/>
        <w:jc w:val="left"/>
        <w:rPr>
          <w:rFonts w:ascii="Garamond" w:eastAsia="STFangsong" w:hAnsi="Garamond"/>
          <w:szCs w:val="21"/>
        </w:rPr>
      </w:pPr>
    </w:p>
    <w:p w14:paraId="0E113145" w14:textId="77777777" w:rsidR="00D61A71" w:rsidRPr="00EE7169" w:rsidRDefault="00D61A71" w:rsidP="005D32E8">
      <w:pPr>
        <w:autoSpaceDE w:val="0"/>
        <w:autoSpaceDN w:val="0"/>
        <w:adjustRightInd w:val="0"/>
        <w:jc w:val="left"/>
        <w:rPr>
          <w:rFonts w:ascii="Garamond" w:eastAsia="STFangsong" w:hAnsi="Garamond"/>
          <w:szCs w:val="21"/>
        </w:rPr>
      </w:pPr>
    </w:p>
    <w:p w14:paraId="449BD751" w14:textId="77777777" w:rsidR="00D61A71" w:rsidRPr="00EE7169" w:rsidRDefault="00D61A71" w:rsidP="005D32E8">
      <w:pPr>
        <w:autoSpaceDE w:val="0"/>
        <w:autoSpaceDN w:val="0"/>
        <w:adjustRightInd w:val="0"/>
        <w:jc w:val="left"/>
        <w:rPr>
          <w:rFonts w:ascii="Garamond" w:eastAsia="STFangsong" w:hAnsi="Garamond"/>
          <w:szCs w:val="21"/>
        </w:rPr>
      </w:pPr>
    </w:p>
    <w:p w14:paraId="528817D0" w14:textId="77777777" w:rsidR="006E19D9" w:rsidRPr="00EE7169" w:rsidRDefault="006E19D9" w:rsidP="00244EEE">
      <w:pPr>
        <w:widowControl/>
        <w:rPr>
          <w:rFonts w:ascii="Garamond" w:hAnsi="Garamond"/>
          <w:b/>
          <w:kern w:val="0"/>
          <w:sz w:val="24"/>
          <w:szCs w:val="24"/>
        </w:rPr>
      </w:pPr>
    </w:p>
    <w:p w14:paraId="4A067874" w14:textId="77777777" w:rsidR="006E19D9" w:rsidRPr="00EE7169" w:rsidRDefault="006E19D9" w:rsidP="00244EEE">
      <w:pPr>
        <w:widowControl/>
        <w:rPr>
          <w:rFonts w:ascii="Garamond" w:hAnsi="Garamond"/>
          <w:b/>
          <w:kern w:val="0"/>
          <w:sz w:val="24"/>
          <w:szCs w:val="24"/>
        </w:rPr>
      </w:pPr>
    </w:p>
    <w:p w14:paraId="7547D793" w14:textId="77777777" w:rsidR="006E19D9" w:rsidRPr="00EE7169" w:rsidRDefault="006E19D9" w:rsidP="00244EEE">
      <w:pPr>
        <w:widowControl/>
        <w:rPr>
          <w:rFonts w:ascii="Garamond" w:hAnsi="Garamond"/>
          <w:b/>
          <w:kern w:val="0"/>
          <w:sz w:val="24"/>
          <w:szCs w:val="24"/>
        </w:rPr>
      </w:pPr>
    </w:p>
    <w:p w14:paraId="2885B96D" w14:textId="77777777" w:rsidR="000F373C" w:rsidRDefault="000F373C" w:rsidP="00244EEE">
      <w:pPr>
        <w:widowControl/>
        <w:rPr>
          <w:rFonts w:ascii="Garamond" w:hAnsi="Garamond"/>
          <w:b/>
          <w:kern w:val="0"/>
          <w:sz w:val="24"/>
          <w:szCs w:val="24"/>
        </w:rPr>
        <w:sectPr w:rsidR="000F373C" w:rsidSect="0073367B">
          <w:pgSz w:w="15840" w:h="12240" w:orient="landscape"/>
          <w:pgMar w:top="1440" w:right="1440" w:bottom="1440" w:left="1440" w:header="720" w:footer="720" w:gutter="0"/>
          <w:cols w:space="720"/>
          <w:noEndnote/>
          <w:docGrid w:linePitch="286"/>
        </w:sectPr>
      </w:pPr>
    </w:p>
    <w:p w14:paraId="36D677AC" w14:textId="44D4C44A" w:rsidR="00091F91" w:rsidRPr="00EE7169" w:rsidRDefault="009D32AF" w:rsidP="00244EEE">
      <w:pPr>
        <w:widowControl/>
        <w:rPr>
          <w:rFonts w:ascii="Garamond" w:hAnsi="Garamond"/>
          <w:b/>
          <w:kern w:val="0"/>
          <w:sz w:val="24"/>
          <w:szCs w:val="24"/>
        </w:rPr>
      </w:pPr>
      <w:r>
        <w:rPr>
          <w:rFonts w:ascii="Garamond" w:hAnsi="Garamond"/>
          <w:b/>
          <w:kern w:val="0"/>
          <w:sz w:val="24"/>
          <w:szCs w:val="24"/>
        </w:rPr>
        <w:lastRenderedPageBreak/>
        <w:t xml:space="preserve">                     </w:t>
      </w:r>
      <w:r w:rsidR="005A1700" w:rsidRPr="00EE7169">
        <w:rPr>
          <w:rFonts w:ascii="Garamond" w:hAnsi="Garamond"/>
          <w:b/>
          <w:kern w:val="0"/>
          <w:sz w:val="24"/>
          <w:szCs w:val="24"/>
        </w:rPr>
        <w:t>Appendix Table A. Variable D</w:t>
      </w:r>
      <w:r w:rsidR="006E19D9" w:rsidRPr="00EE7169">
        <w:rPr>
          <w:rFonts w:ascii="Garamond" w:hAnsi="Garamond"/>
          <w:b/>
          <w:kern w:val="0"/>
          <w:sz w:val="24"/>
          <w:szCs w:val="24"/>
        </w:rPr>
        <w:t>escription</w:t>
      </w:r>
    </w:p>
    <w:tbl>
      <w:tblPr>
        <w:tblW w:w="5245" w:type="pct"/>
        <w:jc w:val="center"/>
        <w:tblBorders>
          <w:top w:val="single" w:sz="4" w:space="0" w:color="auto"/>
          <w:bottom w:val="single" w:sz="4" w:space="0" w:color="auto"/>
        </w:tblBorders>
        <w:tblLayout w:type="fixed"/>
        <w:tblLook w:val="04A0" w:firstRow="1" w:lastRow="0" w:firstColumn="1" w:lastColumn="0" w:noHBand="0" w:noVBand="1"/>
      </w:tblPr>
      <w:tblGrid>
        <w:gridCol w:w="2029"/>
        <w:gridCol w:w="7790"/>
      </w:tblGrid>
      <w:tr w:rsidR="00091F91" w:rsidRPr="00EE7169" w14:paraId="609B96C6" w14:textId="77777777" w:rsidTr="006E19D9">
        <w:trPr>
          <w:jc w:val="center"/>
        </w:trPr>
        <w:tc>
          <w:tcPr>
            <w:tcW w:w="5000" w:type="pct"/>
            <w:gridSpan w:val="2"/>
            <w:tcBorders>
              <w:top w:val="single" w:sz="4" w:space="0" w:color="auto"/>
              <w:bottom w:val="single" w:sz="4" w:space="0" w:color="auto"/>
            </w:tcBorders>
            <w:shd w:val="clear" w:color="auto" w:fill="auto"/>
            <w:noWrap/>
          </w:tcPr>
          <w:p w14:paraId="5CB9D7E0" w14:textId="77777777" w:rsidR="00091F91" w:rsidRPr="00EE7169" w:rsidRDefault="00091F91" w:rsidP="00091F91">
            <w:pPr>
              <w:widowControl/>
              <w:spacing w:after="60"/>
              <w:jc w:val="center"/>
              <w:rPr>
                <w:rFonts w:ascii="Garamond" w:hAnsi="Garamond"/>
                <w:b/>
                <w:color w:val="000000"/>
                <w:kern w:val="0"/>
                <w:szCs w:val="21"/>
              </w:rPr>
            </w:pPr>
            <w:r w:rsidRPr="00EE7169">
              <w:rPr>
                <w:rFonts w:ascii="Garamond" w:hAnsi="Garamond"/>
                <w:b/>
                <w:color w:val="000000"/>
                <w:kern w:val="0"/>
                <w:szCs w:val="21"/>
              </w:rPr>
              <w:t>Firm-level variables</w:t>
            </w:r>
          </w:p>
        </w:tc>
      </w:tr>
      <w:tr w:rsidR="00091F91" w:rsidRPr="00EE7169" w14:paraId="46480F7C" w14:textId="77777777" w:rsidTr="006E19D9">
        <w:trPr>
          <w:jc w:val="center"/>
        </w:trPr>
        <w:tc>
          <w:tcPr>
            <w:tcW w:w="1033" w:type="pct"/>
            <w:tcBorders>
              <w:top w:val="single" w:sz="4" w:space="0" w:color="auto"/>
            </w:tcBorders>
            <w:shd w:val="clear" w:color="auto" w:fill="auto"/>
            <w:noWrap/>
          </w:tcPr>
          <w:p w14:paraId="4BF40112"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Decentralized</w:t>
            </w:r>
          </w:p>
        </w:tc>
        <w:tc>
          <w:tcPr>
            <w:tcW w:w="3967" w:type="pct"/>
            <w:tcBorders>
              <w:top w:val="single" w:sz="4" w:space="0" w:color="auto"/>
            </w:tcBorders>
            <w:shd w:val="clear" w:color="auto" w:fill="auto"/>
            <w:noWrap/>
          </w:tcPr>
          <w:p w14:paraId="6AD9F2E4" w14:textId="77777777" w:rsidR="00091F91" w:rsidRPr="00EE7169" w:rsidRDefault="00091F91" w:rsidP="00091F91">
            <w:pPr>
              <w:spacing w:after="60"/>
              <w:rPr>
                <w:rFonts w:ascii="Garamond" w:hAnsi="Garamond"/>
                <w:color w:val="000000"/>
                <w:szCs w:val="21"/>
              </w:rPr>
            </w:pPr>
            <w:r w:rsidRPr="00EE7169">
              <w:rPr>
                <w:rFonts w:ascii="Garamond" w:hAnsi="Garamond"/>
                <w:color w:val="000000"/>
                <w:szCs w:val="21"/>
              </w:rPr>
              <w:t>Dummy variable equals to one if a firm’s affiliation-level is changed from a higher level government to a lower level government.  Source: Annual Survey of Industrial Firms (ASIF).  The default source for all variables is ASIF.</w:t>
            </w:r>
          </w:p>
        </w:tc>
      </w:tr>
      <w:tr w:rsidR="00091F91" w:rsidRPr="00EE7169" w14:paraId="35D31FA5" w14:textId="77777777" w:rsidTr="006E19D9">
        <w:trPr>
          <w:jc w:val="center"/>
        </w:trPr>
        <w:tc>
          <w:tcPr>
            <w:tcW w:w="1033" w:type="pct"/>
            <w:shd w:val="clear" w:color="auto" w:fill="auto"/>
            <w:noWrap/>
          </w:tcPr>
          <w:p w14:paraId="5586EF39"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Different city</w:t>
            </w:r>
          </w:p>
        </w:tc>
        <w:tc>
          <w:tcPr>
            <w:tcW w:w="3967" w:type="pct"/>
            <w:shd w:val="clear" w:color="auto" w:fill="auto"/>
            <w:noWrap/>
          </w:tcPr>
          <w:p w14:paraId="34943C1E" w14:textId="77777777" w:rsidR="00091F91" w:rsidRPr="00EE7169" w:rsidRDefault="00091F91" w:rsidP="00091F91">
            <w:pPr>
              <w:spacing w:after="60"/>
              <w:rPr>
                <w:rFonts w:ascii="Garamond" w:hAnsi="Garamond"/>
                <w:color w:val="000000"/>
                <w:szCs w:val="21"/>
              </w:rPr>
            </w:pPr>
            <w:r w:rsidRPr="00EE7169">
              <w:rPr>
                <w:rFonts w:ascii="Garamond" w:hAnsi="Garamond"/>
                <w:color w:val="000000"/>
                <w:szCs w:val="21"/>
              </w:rPr>
              <w:t xml:space="preserve">Dummy variable equals to one if located in a different city with the seat of the government with which it is affiliated, and zero otherwise.  </w:t>
            </w:r>
          </w:p>
        </w:tc>
      </w:tr>
      <w:tr w:rsidR="00091F91" w:rsidRPr="00EE7169" w14:paraId="1B824D95" w14:textId="77777777" w:rsidTr="006E19D9">
        <w:trPr>
          <w:jc w:val="center"/>
        </w:trPr>
        <w:tc>
          <w:tcPr>
            <w:tcW w:w="1033" w:type="pct"/>
            <w:shd w:val="clear" w:color="auto" w:fill="auto"/>
            <w:noWrap/>
          </w:tcPr>
          <w:p w14:paraId="7F71C11F"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Distance</w:t>
            </w:r>
          </w:p>
        </w:tc>
        <w:tc>
          <w:tcPr>
            <w:tcW w:w="3967" w:type="pct"/>
            <w:shd w:val="clear" w:color="auto" w:fill="auto"/>
            <w:noWrap/>
          </w:tcPr>
          <w:p w14:paraId="4A0ACDB4" w14:textId="77777777" w:rsidR="00091F91" w:rsidRPr="00EE7169" w:rsidRDefault="00091F91" w:rsidP="00091F91">
            <w:pPr>
              <w:spacing w:after="60"/>
              <w:rPr>
                <w:rFonts w:ascii="Garamond" w:hAnsi="Garamond"/>
                <w:color w:val="000000"/>
                <w:szCs w:val="21"/>
              </w:rPr>
            </w:pPr>
            <w:r w:rsidRPr="00EE7169">
              <w:rPr>
                <w:rFonts w:ascii="Garamond" w:hAnsi="Garamond"/>
                <w:color w:val="000000"/>
                <w:szCs w:val="21"/>
              </w:rPr>
              <w:t>The physical distance (log kilometers) between the firm and the seat of the government with which it is affiliated. Source: ASIF, and Geographic Information System.</w:t>
            </w:r>
          </w:p>
        </w:tc>
      </w:tr>
      <w:tr w:rsidR="00091F91" w:rsidRPr="00EE7169" w14:paraId="02E53CFF" w14:textId="77777777" w:rsidTr="006E19D9">
        <w:trPr>
          <w:jc w:val="center"/>
        </w:trPr>
        <w:tc>
          <w:tcPr>
            <w:tcW w:w="1033" w:type="pct"/>
            <w:shd w:val="clear" w:color="auto" w:fill="auto"/>
            <w:noWrap/>
          </w:tcPr>
          <w:p w14:paraId="26924C61"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Placebo distance</w:t>
            </w:r>
          </w:p>
        </w:tc>
        <w:tc>
          <w:tcPr>
            <w:tcW w:w="3967" w:type="pct"/>
            <w:shd w:val="clear" w:color="auto" w:fill="auto"/>
            <w:noWrap/>
          </w:tcPr>
          <w:p w14:paraId="5588F9D5" w14:textId="77777777" w:rsidR="00091F91" w:rsidRPr="00EE7169" w:rsidRDefault="00091F91" w:rsidP="00091F91">
            <w:pPr>
              <w:spacing w:after="60"/>
              <w:rPr>
                <w:rFonts w:ascii="Garamond" w:hAnsi="Garamond"/>
                <w:color w:val="000000"/>
                <w:szCs w:val="21"/>
              </w:rPr>
            </w:pPr>
            <w:r w:rsidRPr="00EE7169">
              <w:rPr>
                <w:rFonts w:ascii="Garamond" w:hAnsi="Garamond"/>
                <w:color w:val="000000"/>
                <w:szCs w:val="21"/>
              </w:rPr>
              <w:t xml:space="preserve">Distance from Shanghai for central SOEs, distance from the largest city within the province (except for the provincial capital) for province SOEs, distance from the largest county-level city within the same prefecture (except for the prefecture seat) for </w:t>
            </w:r>
            <w:r w:rsidRPr="00EE7169">
              <w:rPr>
                <w:rFonts w:ascii="Garamond" w:hAnsi="Garamond"/>
                <w:kern w:val="0"/>
                <w:szCs w:val="21"/>
              </w:rPr>
              <w:t xml:space="preserve">municipal </w:t>
            </w:r>
            <w:r w:rsidRPr="00EE7169">
              <w:rPr>
                <w:rFonts w:ascii="Garamond" w:hAnsi="Garamond"/>
                <w:color w:val="000000"/>
                <w:szCs w:val="21"/>
              </w:rPr>
              <w:t>SOEs. Source: ASIF, and Geographic Information System.</w:t>
            </w:r>
          </w:p>
        </w:tc>
      </w:tr>
      <w:tr w:rsidR="004637CB" w:rsidRPr="00EE7169" w14:paraId="47E46C7C" w14:textId="77777777" w:rsidTr="006E19D9">
        <w:trPr>
          <w:jc w:val="center"/>
        </w:trPr>
        <w:tc>
          <w:tcPr>
            <w:tcW w:w="1033" w:type="pct"/>
            <w:shd w:val="clear" w:color="auto" w:fill="auto"/>
            <w:noWrap/>
          </w:tcPr>
          <w:p w14:paraId="3E5118BD" w14:textId="2122B1EE" w:rsidR="004637CB" w:rsidRPr="00EE7169" w:rsidRDefault="004637CB" w:rsidP="00091F91">
            <w:pPr>
              <w:widowControl/>
              <w:spacing w:after="60"/>
              <w:jc w:val="left"/>
              <w:rPr>
                <w:rFonts w:ascii="Garamond" w:hAnsi="Garamond"/>
                <w:color w:val="000000"/>
                <w:kern w:val="0"/>
                <w:szCs w:val="21"/>
              </w:rPr>
            </w:pPr>
            <w:r w:rsidRPr="00EE7169">
              <w:rPr>
                <w:rFonts w:ascii="Garamond" w:hAnsi="Garamond"/>
                <w:color w:val="000000"/>
                <w:kern w:val="0"/>
                <w:szCs w:val="21"/>
              </w:rPr>
              <w:t>Privatized</w:t>
            </w:r>
          </w:p>
        </w:tc>
        <w:tc>
          <w:tcPr>
            <w:tcW w:w="3967" w:type="pct"/>
            <w:shd w:val="clear" w:color="auto" w:fill="auto"/>
            <w:noWrap/>
          </w:tcPr>
          <w:p w14:paraId="482ED66A" w14:textId="05B5BBFD" w:rsidR="004637CB" w:rsidRPr="00EE7169" w:rsidRDefault="004637CB" w:rsidP="00091F91">
            <w:pPr>
              <w:spacing w:after="60"/>
              <w:rPr>
                <w:rFonts w:ascii="Garamond" w:hAnsi="Garamond"/>
                <w:color w:val="000000"/>
                <w:szCs w:val="21"/>
              </w:rPr>
            </w:pPr>
            <w:r w:rsidRPr="00EE7169">
              <w:rPr>
                <w:rFonts w:ascii="Garamond" w:hAnsi="Garamond"/>
                <w:color w:val="000000"/>
                <w:szCs w:val="21"/>
              </w:rPr>
              <w:t>Dummy variable equals to one if state share falls below 50% or exit from the database</w:t>
            </w:r>
          </w:p>
        </w:tc>
      </w:tr>
      <w:tr w:rsidR="00091F91" w:rsidRPr="00EE7169" w14:paraId="1052CD34" w14:textId="77777777" w:rsidTr="006E19D9">
        <w:trPr>
          <w:jc w:val="center"/>
        </w:trPr>
        <w:tc>
          <w:tcPr>
            <w:tcW w:w="1033" w:type="pct"/>
            <w:shd w:val="clear" w:color="auto" w:fill="auto"/>
            <w:noWrap/>
          </w:tcPr>
          <w:p w14:paraId="2F61A33B"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Firm asset</w:t>
            </w:r>
          </w:p>
        </w:tc>
        <w:tc>
          <w:tcPr>
            <w:tcW w:w="3967" w:type="pct"/>
            <w:shd w:val="clear" w:color="auto" w:fill="auto"/>
            <w:noWrap/>
          </w:tcPr>
          <w:p w14:paraId="4FBFE8CC" w14:textId="5D463904" w:rsidR="00091F91" w:rsidRPr="00EE7169" w:rsidRDefault="006E19D9" w:rsidP="00091F91">
            <w:pPr>
              <w:spacing w:after="60"/>
              <w:rPr>
                <w:rFonts w:ascii="Garamond" w:hAnsi="Garamond"/>
                <w:color w:val="000000"/>
                <w:szCs w:val="21"/>
              </w:rPr>
            </w:pPr>
            <w:r w:rsidRPr="00EE7169">
              <w:rPr>
                <w:rFonts w:ascii="Garamond" w:hAnsi="Garamond"/>
                <w:color w:val="000000"/>
                <w:szCs w:val="21"/>
              </w:rPr>
              <w:t>Log of firm asset</w:t>
            </w:r>
          </w:p>
        </w:tc>
      </w:tr>
      <w:tr w:rsidR="00091F91" w:rsidRPr="00EE7169" w14:paraId="511F2BAE" w14:textId="77777777" w:rsidTr="006E19D9">
        <w:trPr>
          <w:jc w:val="center"/>
        </w:trPr>
        <w:tc>
          <w:tcPr>
            <w:tcW w:w="1033" w:type="pct"/>
            <w:shd w:val="clear" w:color="auto" w:fill="auto"/>
            <w:noWrap/>
            <w:hideMark/>
          </w:tcPr>
          <w:p w14:paraId="5396F75E"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ROS</w:t>
            </w:r>
          </w:p>
        </w:tc>
        <w:tc>
          <w:tcPr>
            <w:tcW w:w="3967" w:type="pct"/>
            <w:shd w:val="clear" w:color="auto" w:fill="auto"/>
            <w:noWrap/>
            <w:hideMark/>
          </w:tcPr>
          <w:p w14:paraId="619CA2D2"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Ratio of before-tax profit to sales</w:t>
            </w:r>
          </w:p>
        </w:tc>
      </w:tr>
      <w:tr w:rsidR="00091F91" w:rsidRPr="00EE7169" w14:paraId="4261A68B" w14:textId="77777777" w:rsidTr="006E19D9">
        <w:trPr>
          <w:jc w:val="center"/>
        </w:trPr>
        <w:tc>
          <w:tcPr>
            <w:tcW w:w="1033" w:type="pct"/>
            <w:shd w:val="clear" w:color="auto" w:fill="auto"/>
            <w:noWrap/>
          </w:tcPr>
          <w:p w14:paraId="6A63906C"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i/>
                <w:kern w:val="0"/>
                <w:szCs w:val="21"/>
              </w:rPr>
              <w:t>TFP</w:t>
            </w:r>
            <w:r w:rsidRPr="00EE7169">
              <w:rPr>
                <w:rFonts w:ascii="Garamond" w:hAnsi="Garamond"/>
                <w:kern w:val="0"/>
                <w:szCs w:val="21"/>
              </w:rPr>
              <w:t xml:space="preserve">  </w:t>
            </w:r>
          </w:p>
        </w:tc>
        <w:tc>
          <w:tcPr>
            <w:tcW w:w="3967" w:type="pct"/>
            <w:shd w:val="clear" w:color="auto" w:fill="auto"/>
            <w:noWrap/>
          </w:tcPr>
          <w:p w14:paraId="08A87A1F" w14:textId="454E8CF4" w:rsidR="00091F91" w:rsidRPr="00EE7169" w:rsidRDefault="00091F91" w:rsidP="004637CB">
            <w:pPr>
              <w:spacing w:after="60"/>
              <w:rPr>
                <w:rFonts w:ascii="Garamond" w:hAnsi="Garamond"/>
                <w:color w:val="000000"/>
                <w:szCs w:val="21"/>
              </w:rPr>
            </w:pPr>
            <w:r w:rsidRPr="00EE7169">
              <w:rPr>
                <w:rFonts w:ascii="Garamond" w:hAnsi="Garamond"/>
                <w:color w:val="000000"/>
                <w:szCs w:val="21"/>
              </w:rPr>
              <w:t xml:space="preserve">Total factor productivity, </w:t>
            </w:r>
            <w:r w:rsidRPr="00EE7169">
              <w:rPr>
                <w:rFonts w:ascii="Garamond" w:hAnsi="Garamond"/>
                <w:sz w:val="20"/>
                <w:szCs w:val="20"/>
              </w:rPr>
              <w:t>calculated</w:t>
            </w:r>
            <w:r w:rsidRPr="00EE7169">
              <w:rPr>
                <w:rFonts w:ascii="Garamond" w:hAnsi="Garamond"/>
                <w:sz w:val="20"/>
              </w:rPr>
              <w:t xml:space="preserve"> as the residual from the regression of log value added on log fixed capital and log employment.</w:t>
            </w:r>
            <w:r w:rsidRPr="00EE7169">
              <w:rPr>
                <w:rFonts w:ascii="Garamond" w:hAnsi="Garamond"/>
                <w:sz w:val="20"/>
                <w:szCs w:val="20"/>
              </w:rPr>
              <w:t xml:space="preserve"> </w:t>
            </w:r>
            <w:r w:rsidR="004637CB" w:rsidRPr="00EE7169">
              <w:rPr>
                <w:rFonts w:ascii="Garamond" w:hAnsi="Garamond"/>
                <w:sz w:val="20"/>
                <w:szCs w:val="20"/>
              </w:rPr>
              <w:t>Two</w:t>
            </w:r>
            <w:r w:rsidRPr="00EE7169">
              <w:rPr>
                <w:rFonts w:ascii="Garamond" w:hAnsi="Garamond"/>
                <w:sz w:val="20"/>
                <w:szCs w:val="20"/>
              </w:rPr>
              <w:t xml:space="preserve"> methods are used, including Olley-Pakes and index number</w:t>
            </w:r>
            <w:r w:rsidR="004637CB" w:rsidRPr="00EE7169">
              <w:rPr>
                <w:rFonts w:ascii="Garamond" w:hAnsi="Garamond"/>
                <w:sz w:val="20"/>
                <w:szCs w:val="20"/>
              </w:rPr>
              <w:t>.</w:t>
            </w:r>
          </w:p>
        </w:tc>
      </w:tr>
      <w:tr w:rsidR="00091F91" w:rsidRPr="00EE7169" w14:paraId="4C8EADF0" w14:textId="77777777" w:rsidTr="006E19D9">
        <w:trPr>
          <w:jc w:val="center"/>
        </w:trPr>
        <w:tc>
          <w:tcPr>
            <w:tcW w:w="1033" w:type="pct"/>
            <w:shd w:val="clear" w:color="auto" w:fill="auto"/>
            <w:noWrap/>
            <w:hideMark/>
          </w:tcPr>
          <w:p w14:paraId="373EED93"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Firm importance</w:t>
            </w:r>
          </w:p>
        </w:tc>
        <w:tc>
          <w:tcPr>
            <w:tcW w:w="3967" w:type="pct"/>
            <w:shd w:val="clear" w:color="auto" w:fill="auto"/>
            <w:noWrap/>
            <w:hideMark/>
          </w:tcPr>
          <w:p w14:paraId="042CFA65" w14:textId="77777777" w:rsidR="00091F91" w:rsidRPr="00EE7169" w:rsidRDefault="00091F91" w:rsidP="00091F91">
            <w:pPr>
              <w:widowControl/>
              <w:spacing w:after="60"/>
              <w:ind w:left="1"/>
              <w:jc w:val="left"/>
              <w:rPr>
                <w:rFonts w:ascii="Garamond" w:hAnsi="Garamond"/>
                <w:color w:val="000000"/>
                <w:kern w:val="0"/>
                <w:szCs w:val="21"/>
              </w:rPr>
            </w:pPr>
            <w:r w:rsidRPr="00EE7169">
              <w:rPr>
                <w:rFonts w:ascii="Garamond" w:hAnsi="Garamond"/>
                <w:color w:val="000000"/>
                <w:kern w:val="0"/>
                <w:szCs w:val="21"/>
              </w:rPr>
              <w:t>Ratio of the firm’s valued added to the total value added of firms in the same 2-digit industry and affiliated with the same government</w:t>
            </w:r>
          </w:p>
        </w:tc>
      </w:tr>
      <w:tr w:rsidR="00091F91" w:rsidRPr="00EE7169" w14:paraId="65BD3C0D" w14:textId="77777777" w:rsidTr="006E19D9">
        <w:trPr>
          <w:jc w:val="center"/>
        </w:trPr>
        <w:tc>
          <w:tcPr>
            <w:tcW w:w="1033" w:type="pct"/>
            <w:shd w:val="clear" w:color="auto" w:fill="auto"/>
            <w:noWrap/>
            <w:hideMark/>
          </w:tcPr>
          <w:p w14:paraId="18B3A156" w14:textId="77777777" w:rsidR="00091F91" w:rsidRPr="00EE7169" w:rsidRDefault="00091F91" w:rsidP="00091F91">
            <w:pPr>
              <w:autoSpaceDE w:val="0"/>
              <w:autoSpaceDN w:val="0"/>
              <w:adjustRightInd w:val="0"/>
              <w:spacing w:after="60"/>
              <w:jc w:val="left"/>
              <w:rPr>
                <w:rFonts w:ascii="Garamond" w:hAnsi="Garamond"/>
                <w:kern w:val="0"/>
                <w:szCs w:val="21"/>
              </w:rPr>
            </w:pPr>
            <w:r w:rsidRPr="00EE7169">
              <w:rPr>
                <w:rFonts w:ascii="Garamond" w:hAnsi="Garamond"/>
                <w:kern w:val="0"/>
                <w:szCs w:val="21"/>
              </w:rPr>
              <w:t>Fully state-owned</w:t>
            </w:r>
          </w:p>
        </w:tc>
        <w:tc>
          <w:tcPr>
            <w:tcW w:w="3967" w:type="pct"/>
            <w:shd w:val="clear" w:color="auto" w:fill="auto"/>
            <w:noWrap/>
            <w:hideMark/>
          </w:tcPr>
          <w:p w14:paraId="3E412F38" w14:textId="77777777" w:rsidR="00091F91" w:rsidRPr="00EE7169" w:rsidRDefault="00091F91" w:rsidP="00091F91">
            <w:pPr>
              <w:widowControl/>
              <w:spacing w:after="60"/>
              <w:jc w:val="left"/>
              <w:rPr>
                <w:rFonts w:ascii="Garamond" w:hAnsi="Garamond"/>
                <w:color w:val="000000"/>
                <w:kern w:val="0"/>
                <w:szCs w:val="21"/>
              </w:rPr>
            </w:pPr>
            <w:r w:rsidRPr="00EE7169">
              <w:rPr>
                <w:rFonts w:ascii="Garamond" w:hAnsi="Garamond"/>
                <w:color w:val="000000"/>
                <w:kern w:val="0"/>
                <w:szCs w:val="21"/>
              </w:rPr>
              <w:t xml:space="preserve">Dummy variable equals to one if state share in firm’s equity equals 100% </w:t>
            </w:r>
          </w:p>
        </w:tc>
      </w:tr>
      <w:tr w:rsidR="00091F91" w:rsidRPr="00EE7169" w14:paraId="35F93057" w14:textId="77777777" w:rsidTr="006E19D9">
        <w:trPr>
          <w:jc w:val="center"/>
        </w:trPr>
        <w:tc>
          <w:tcPr>
            <w:tcW w:w="1033" w:type="pct"/>
            <w:tcBorders>
              <w:bottom w:val="single" w:sz="4" w:space="0" w:color="auto"/>
            </w:tcBorders>
            <w:shd w:val="clear" w:color="auto" w:fill="auto"/>
            <w:noWrap/>
          </w:tcPr>
          <w:p w14:paraId="27B5AE38" w14:textId="699D5352" w:rsidR="00091F91" w:rsidRPr="00EE7169" w:rsidRDefault="00091F91" w:rsidP="006E19D9">
            <w:pPr>
              <w:widowControl/>
              <w:spacing w:after="60"/>
              <w:jc w:val="left"/>
              <w:rPr>
                <w:rFonts w:ascii="Garamond" w:hAnsi="Garamond"/>
                <w:color w:val="000000"/>
                <w:kern w:val="0"/>
                <w:szCs w:val="21"/>
              </w:rPr>
            </w:pPr>
            <w:r w:rsidRPr="00EE7169">
              <w:rPr>
                <w:rFonts w:ascii="Garamond" w:hAnsi="Garamond"/>
                <w:color w:val="000000"/>
                <w:kern w:val="0"/>
                <w:szCs w:val="21"/>
              </w:rPr>
              <w:t xml:space="preserve">Third front </w:t>
            </w:r>
            <w:r w:rsidR="006E19D9" w:rsidRPr="00EE7169">
              <w:rPr>
                <w:rFonts w:ascii="Garamond" w:hAnsi="Garamond"/>
                <w:color w:val="000000"/>
                <w:kern w:val="0"/>
                <w:szCs w:val="21"/>
              </w:rPr>
              <w:t>firm</w:t>
            </w:r>
          </w:p>
        </w:tc>
        <w:tc>
          <w:tcPr>
            <w:tcW w:w="3967" w:type="pct"/>
            <w:tcBorders>
              <w:bottom w:val="single" w:sz="4" w:space="0" w:color="auto"/>
            </w:tcBorders>
            <w:shd w:val="clear" w:color="auto" w:fill="auto"/>
          </w:tcPr>
          <w:p w14:paraId="7FE9589B" w14:textId="71D9621B" w:rsidR="00091F91" w:rsidRPr="00EE7169" w:rsidRDefault="00091F91" w:rsidP="00091F91">
            <w:pPr>
              <w:spacing w:after="60"/>
              <w:rPr>
                <w:rFonts w:ascii="Garamond" w:hAnsi="Garamond"/>
                <w:color w:val="000000"/>
                <w:szCs w:val="21"/>
              </w:rPr>
            </w:pPr>
            <w:r w:rsidRPr="00EE7169">
              <w:rPr>
                <w:rFonts w:ascii="Garamond" w:hAnsi="Garamond"/>
                <w:color w:val="000000"/>
                <w:szCs w:val="21"/>
              </w:rPr>
              <w:t>Dummy variable equals to one if</w:t>
            </w:r>
            <w:r w:rsidRPr="00EE7169">
              <w:rPr>
                <w:rFonts w:ascii="Garamond" w:eastAsia="STFangsong" w:hAnsi="Garamond"/>
                <w:szCs w:val="21"/>
              </w:rPr>
              <w:t xml:space="preserve"> firm was established during</w:t>
            </w:r>
            <w:r w:rsidR="006E19D9" w:rsidRPr="00EE7169">
              <w:rPr>
                <w:rFonts w:ascii="Garamond" w:eastAsia="STFangsong" w:hAnsi="Garamond"/>
                <w:szCs w:val="21"/>
              </w:rPr>
              <w:t xml:space="preserve"> 1964-1966 or 1969-1971 in the </w:t>
            </w:r>
            <w:r w:rsidR="006E19D9" w:rsidRPr="00EE7169">
              <w:rPr>
                <w:rFonts w:ascii="Garamond" w:eastAsia="STFangsong" w:hAnsi="Garamond"/>
                <w:i/>
                <w:szCs w:val="21"/>
              </w:rPr>
              <w:t>Third Frond Construction Area</w:t>
            </w:r>
            <w:r w:rsidR="006E19D9" w:rsidRPr="00EE7169">
              <w:rPr>
                <w:rFonts w:ascii="Garamond" w:eastAsia="STFangsong" w:hAnsi="Garamond"/>
                <w:szCs w:val="21"/>
              </w:rPr>
              <w:t>.</w:t>
            </w:r>
          </w:p>
        </w:tc>
      </w:tr>
    </w:tbl>
    <w:p w14:paraId="21E29F65" w14:textId="57C952A7" w:rsidR="007A5ADD" w:rsidRDefault="007A5ADD" w:rsidP="00F117B9">
      <w:pPr>
        <w:widowControl/>
        <w:rPr>
          <w:rFonts w:ascii="Garamond" w:eastAsia="STFangsong" w:hAnsi="Garamond"/>
          <w:b/>
          <w:sz w:val="24"/>
          <w:szCs w:val="24"/>
        </w:rPr>
      </w:pPr>
    </w:p>
    <w:p w14:paraId="6174B12D" w14:textId="77777777" w:rsidR="007A5ADD" w:rsidRDefault="007A5ADD">
      <w:pPr>
        <w:widowControl/>
        <w:jc w:val="left"/>
        <w:rPr>
          <w:rFonts w:ascii="Garamond" w:eastAsia="STFangsong" w:hAnsi="Garamond"/>
          <w:b/>
          <w:sz w:val="24"/>
          <w:szCs w:val="24"/>
        </w:rPr>
      </w:pPr>
      <w:r>
        <w:rPr>
          <w:rFonts w:ascii="Garamond" w:eastAsia="STFangsong" w:hAnsi="Garamond"/>
          <w:b/>
          <w:sz w:val="24"/>
          <w:szCs w:val="24"/>
        </w:rPr>
        <w:br w:type="page"/>
      </w:r>
    </w:p>
    <w:p w14:paraId="4DE6D283" w14:textId="1B6492AB" w:rsidR="007A5ADD" w:rsidRPr="00EE7169" w:rsidRDefault="007A5ADD" w:rsidP="007A5ADD">
      <w:pPr>
        <w:widowControl/>
        <w:rPr>
          <w:rFonts w:ascii="Garamond" w:hAnsi="Garamond"/>
          <w:b/>
          <w:kern w:val="0"/>
          <w:sz w:val="24"/>
          <w:szCs w:val="24"/>
        </w:rPr>
      </w:pPr>
      <w:r>
        <w:rPr>
          <w:rFonts w:ascii="Garamond" w:hAnsi="Garamond"/>
          <w:b/>
          <w:kern w:val="0"/>
          <w:sz w:val="24"/>
          <w:szCs w:val="24"/>
        </w:rPr>
        <w:lastRenderedPageBreak/>
        <w:t xml:space="preserve">                     Table A. (Cont’d)</w:t>
      </w:r>
    </w:p>
    <w:p w14:paraId="25EB87E6" w14:textId="77777777" w:rsidR="00016831" w:rsidRDefault="00016831" w:rsidP="00F117B9">
      <w:pPr>
        <w:widowControl/>
        <w:rPr>
          <w:rFonts w:ascii="Garamond" w:eastAsia="STFangsong" w:hAnsi="Garamond"/>
          <w:b/>
          <w:sz w:val="24"/>
          <w:szCs w:val="24"/>
        </w:rPr>
      </w:pPr>
    </w:p>
    <w:tbl>
      <w:tblPr>
        <w:tblW w:w="5245" w:type="pct"/>
        <w:jc w:val="center"/>
        <w:tblBorders>
          <w:top w:val="single" w:sz="4" w:space="0" w:color="auto"/>
          <w:bottom w:val="single" w:sz="4" w:space="0" w:color="auto"/>
        </w:tblBorders>
        <w:tblLayout w:type="fixed"/>
        <w:tblLook w:val="04A0" w:firstRow="1" w:lastRow="0" w:firstColumn="1" w:lastColumn="0" w:noHBand="0" w:noVBand="1"/>
      </w:tblPr>
      <w:tblGrid>
        <w:gridCol w:w="2029"/>
        <w:gridCol w:w="7790"/>
      </w:tblGrid>
      <w:tr w:rsidR="007A5ADD" w:rsidRPr="00EE7169" w14:paraId="29580230" w14:textId="77777777" w:rsidTr="0033675D">
        <w:trPr>
          <w:jc w:val="center"/>
        </w:trPr>
        <w:tc>
          <w:tcPr>
            <w:tcW w:w="5000" w:type="pct"/>
            <w:gridSpan w:val="2"/>
            <w:tcBorders>
              <w:top w:val="single" w:sz="4" w:space="0" w:color="auto"/>
              <w:bottom w:val="single" w:sz="4" w:space="0" w:color="auto"/>
            </w:tcBorders>
            <w:shd w:val="clear" w:color="auto" w:fill="auto"/>
            <w:noWrap/>
          </w:tcPr>
          <w:p w14:paraId="13C93737" w14:textId="77777777" w:rsidR="007A5ADD" w:rsidRPr="00EE7169" w:rsidRDefault="007A5ADD" w:rsidP="0033675D">
            <w:pPr>
              <w:widowControl/>
              <w:spacing w:after="60"/>
              <w:jc w:val="center"/>
              <w:rPr>
                <w:rFonts w:ascii="Garamond" w:hAnsi="Garamond"/>
                <w:b/>
                <w:color w:val="000000"/>
                <w:kern w:val="0"/>
                <w:szCs w:val="21"/>
              </w:rPr>
            </w:pPr>
            <w:r w:rsidRPr="00EE7169">
              <w:rPr>
                <w:rFonts w:ascii="Garamond" w:hAnsi="Garamond"/>
                <w:b/>
                <w:color w:val="000000"/>
                <w:kern w:val="0"/>
                <w:szCs w:val="21"/>
              </w:rPr>
              <w:t>Fiscal and Economic Variables in Province, Prefecture and City levels</w:t>
            </w:r>
          </w:p>
        </w:tc>
      </w:tr>
      <w:tr w:rsidR="007A5ADD" w:rsidRPr="00EE7169" w14:paraId="72821CAF" w14:textId="77777777" w:rsidTr="0033675D">
        <w:trPr>
          <w:jc w:val="center"/>
        </w:trPr>
        <w:tc>
          <w:tcPr>
            <w:tcW w:w="1033" w:type="pct"/>
            <w:tcBorders>
              <w:top w:val="single" w:sz="4" w:space="0" w:color="auto"/>
            </w:tcBorders>
            <w:shd w:val="clear" w:color="auto" w:fill="auto"/>
            <w:noWrap/>
            <w:hideMark/>
          </w:tcPr>
          <w:p w14:paraId="3058B0AC"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kern w:val="0"/>
                <w:szCs w:val="21"/>
              </w:rPr>
              <w:t>Province GDP per capita</w:t>
            </w:r>
          </w:p>
        </w:tc>
        <w:tc>
          <w:tcPr>
            <w:tcW w:w="3967" w:type="pct"/>
            <w:tcBorders>
              <w:top w:val="single" w:sz="4" w:space="0" w:color="auto"/>
            </w:tcBorders>
            <w:shd w:val="clear" w:color="auto" w:fill="auto"/>
            <w:noWrap/>
          </w:tcPr>
          <w:p w14:paraId="557E8A07" w14:textId="77777777" w:rsidR="007A5ADD" w:rsidRPr="00EE7169" w:rsidRDefault="007A5ADD" w:rsidP="0033675D">
            <w:pPr>
              <w:spacing w:after="60"/>
              <w:rPr>
                <w:rFonts w:ascii="Garamond" w:hAnsi="Garamond"/>
                <w:color w:val="000000"/>
                <w:szCs w:val="21"/>
              </w:rPr>
            </w:pPr>
            <w:r w:rsidRPr="00EE7169">
              <w:rPr>
                <w:rFonts w:ascii="Garamond" w:hAnsi="Garamond"/>
                <w:szCs w:val="21"/>
              </w:rPr>
              <w:t>Annual per capita GDP in the firm’s province, constant price in the year 2000. Source: China Statistical yearbooks.</w:t>
            </w:r>
          </w:p>
        </w:tc>
      </w:tr>
      <w:tr w:rsidR="007A5ADD" w:rsidRPr="00EE7169" w14:paraId="27D5BC56" w14:textId="77777777" w:rsidTr="0033675D">
        <w:trPr>
          <w:jc w:val="center"/>
        </w:trPr>
        <w:tc>
          <w:tcPr>
            <w:tcW w:w="1033" w:type="pct"/>
            <w:shd w:val="clear" w:color="auto" w:fill="auto"/>
            <w:noWrap/>
            <w:hideMark/>
          </w:tcPr>
          <w:p w14:paraId="0493663B" w14:textId="77777777" w:rsidR="007A5ADD" w:rsidRPr="00EE7169" w:rsidRDefault="007A5ADD" w:rsidP="0033675D">
            <w:pPr>
              <w:autoSpaceDE w:val="0"/>
              <w:autoSpaceDN w:val="0"/>
              <w:adjustRightInd w:val="0"/>
              <w:spacing w:after="60"/>
              <w:ind w:left="315" w:hangingChars="150" w:hanging="315"/>
              <w:jc w:val="left"/>
              <w:rPr>
                <w:rFonts w:ascii="Garamond" w:hAnsi="Garamond"/>
                <w:kern w:val="0"/>
                <w:szCs w:val="21"/>
              </w:rPr>
            </w:pPr>
            <w:r w:rsidRPr="00EE7169">
              <w:rPr>
                <w:rFonts w:ascii="Garamond" w:hAnsi="Garamond"/>
                <w:kern w:val="0"/>
                <w:szCs w:val="21"/>
              </w:rPr>
              <w:t>Province state sector share</w:t>
            </w:r>
          </w:p>
        </w:tc>
        <w:tc>
          <w:tcPr>
            <w:tcW w:w="3967" w:type="pct"/>
            <w:shd w:val="clear" w:color="auto" w:fill="auto"/>
            <w:noWrap/>
          </w:tcPr>
          <w:p w14:paraId="25C59444" w14:textId="77777777" w:rsidR="007A5ADD" w:rsidRPr="00EE7169" w:rsidRDefault="007A5ADD" w:rsidP="0033675D">
            <w:pPr>
              <w:spacing w:after="60"/>
              <w:rPr>
                <w:rFonts w:ascii="Garamond" w:hAnsi="Garamond"/>
                <w:color w:val="000000"/>
                <w:szCs w:val="21"/>
              </w:rPr>
            </w:pPr>
            <w:r w:rsidRPr="00EE7169">
              <w:rPr>
                <w:rFonts w:ascii="Garamond" w:hAnsi="Garamond"/>
                <w:szCs w:val="21"/>
              </w:rPr>
              <w:t>Percentage of employment in SOEs in total urban employment in the firm’s province. Source: China Statistical yearbooks.</w:t>
            </w:r>
          </w:p>
        </w:tc>
      </w:tr>
      <w:tr w:rsidR="007A5ADD" w:rsidRPr="00EE7169" w14:paraId="45D7BB0B" w14:textId="77777777" w:rsidTr="0033675D">
        <w:trPr>
          <w:jc w:val="center"/>
        </w:trPr>
        <w:tc>
          <w:tcPr>
            <w:tcW w:w="1033" w:type="pct"/>
            <w:shd w:val="clear" w:color="auto" w:fill="auto"/>
            <w:noWrap/>
            <w:hideMark/>
          </w:tcPr>
          <w:p w14:paraId="4DA6FB98"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Province unemployment rate</w:t>
            </w:r>
          </w:p>
        </w:tc>
        <w:tc>
          <w:tcPr>
            <w:tcW w:w="3967" w:type="pct"/>
            <w:shd w:val="clear" w:color="auto" w:fill="auto"/>
            <w:noWrap/>
          </w:tcPr>
          <w:p w14:paraId="1A0ED395" w14:textId="77777777" w:rsidR="007A5ADD" w:rsidRPr="00EE7169" w:rsidRDefault="007A5ADD" w:rsidP="0033675D">
            <w:pPr>
              <w:spacing w:after="60"/>
              <w:rPr>
                <w:rFonts w:ascii="Garamond" w:hAnsi="Garamond"/>
                <w:color w:val="000000"/>
                <w:szCs w:val="21"/>
              </w:rPr>
            </w:pPr>
            <w:r w:rsidRPr="00EE7169">
              <w:rPr>
                <w:rFonts w:ascii="Garamond" w:hAnsi="Garamond"/>
                <w:szCs w:val="21"/>
              </w:rPr>
              <w:t>Annual urban employment rate in the firm’s province.  Source: China Statistical yearbooks.</w:t>
            </w:r>
          </w:p>
        </w:tc>
      </w:tr>
      <w:tr w:rsidR="007A5ADD" w:rsidRPr="00EE7169" w14:paraId="0509BE4B" w14:textId="77777777" w:rsidTr="0033675D">
        <w:trPr>
          <w:jc w:val="center"/>
        </w:trPr>
        <w:tc>
          <w:tcPr>
            <w:tcW w:w="1033" w:type="pct"/>
            <w:shd w:val="clear" w:color="auto" w:fill="auto"/>
            <w:noWrap/>
          </w:tcPr>
          <w:p w14:paraId="002F6C84"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Province fiscal revenue p.c.</w:t>
            </w:r>
          </w:p>
        </w:tc>
        <w:tc>
          <w:tcPr>
            <w:tcW w:w="3967" w:type="pct"/>
            <w:shd w:val="clear" w:color="auto" w:fill="auto"/>
            <w:noWrap/>
          </w:tcPr>
          <w:p w14:paraId="3662BD6D" w14:textId="77777777" w:rsidR="007A5ADD" w:rsidRPr="00EE7169" w:rsidRDefault="007A5ADD" w:rsidP="0033675D">
            <w:pPr>
              <w:spacing w:after="60"/>
              <w:rPr>
                <w:rFonts w:ascii="Garamond" w:hAnsi="Garamond"/>
                <w:szCs w:val="21"/>
              </w:rPr>
            </w:pPr>
            <w:r w:rsidRPr="00EE7169">
              <w:rPr>
                <w:rFonts w:ascii="Garamond" w:hAnsi="Garamond"/>
                <w:szCs w:val="21"/>
              </w:rPr>
              <w:t>Annual per capita fiscal revenue in the firm’s province. Source: China Statistical Yearbooks.</w:t>
            </w:r>
          </w:p>
        </w:tc>
      </w:tr>
      <w:tr w:rsidR="007A5ADD" w:rsidRPr="00EE7169" w14:paraId="7A8C0A07" w14:textId="77777777" w:rsidTr="0033675D">
        <w:trPr>
          <w:jc w:val="center"/>
        </w:trPr>
        <w:tc>
          <w:tcPr>
            <w:tcW w:w="1033" w:type="pct"/>
            <w:shd w:val="clear" w:color="auto" w:fill="auto"/>
            <w:noWrap/>
          </w:tcPr>
          <w:p w14:paraId="61D5EDE1" w14:textId="77777777" w:rsidR="007A5ADD" w:rsidRPr="00EE7169" w:rsidRDefault="007A5ADD" w:rsidP="0033675D">
            <w:pPr>
              <w:autoSpaceDE w:val="0"/>
              <w:autoSpaceDN w:val="0"/>
              <w:adjustRightInd w:val="0"/>
              <w:spacing w:after="60"/>
              <w:jc w:val="left"/>
              <w:rPr>
                <w:rFonts w:ascii="Garamond" w:hAnsi="Garamond"/>
                <w:kern w:val="0"/>
                <w:szCs w:val="21"/>
              </w:rPr>
            </w:pPr>
            <w:r w:rsidRPr="00EE7169">
              <w:rPr>
                <w:rFonts w:ascii="Garamond" w:hAnsi="Garamond"/>
                <w:kern w:val="0"/>
                <w:szCs w:val="21"/>
              </w:rPr>
              <w:t>Province fiscal    autonomy</w:t>
            </w:r>
          </w:p>
        </w:tc>
        <w:tc>
          <w:tcPr>
            <w:tcW w:w="3967" w:type="pct"/>
            <w:shd w:val="clear" w:color="auto" w:fill="auto"/>
            <w:noWrap/>
          </w:tcPr>
          <w:p w14:paraId="6713B823" w14:textId="77777777" w:rsidR="007A5ADD" w:rsidRPr="00EE7169" w:rsidRDefault="007A5ADD" w:rsidP="0033675D">
            <w:pPr>
              <w:spacing w:after="60"/>
              <w:rPr>
                <w:rFonts w:ascii="Garamond" w:hAnsi="Garamond"/>
                <w:color w:val="000000"/>
                <w:szCs w:val="21"/>
              </w:rPr>
            </w:pPr>
            <w:r w:rsidRPr="00EE7169">
              <w:rPr>
                <w:rFonts w:ascii="Garamond" w:hAnsi="Garamond"/>
                <w:color w:val="000000"/>
                <w:szCs w:val="21"/>
              </w:rPr>
              <w:t xml:space="preserve">Ratio of fiscal revenue to fiscal expenditure </w:t>
            </w:r>
            <w:r w:rsidRPr="00EE7169">
              <w:rPr>
                <w:rFonts w:ascii="Garamond" w:hAnsi="Garamond"/>
                <w:szCs w:val="21"/>
              </w:rPr>
              <w:t>in the firm’s province.  Source: China Statistical Yearbooks.</w:t>
            </w:r>
          </w:p>
        </w:tc>
      </w:tr>
      <w:tr w:rsidR="007A5ADD" w:rsidRPr="00EE7169" w14:paraId="5D42230E" w14:textId="77777777" w:rsidTr="0033675D">
        <w:trPr>
          <w:jc w:val="center"/>
        </w:trPr>
        <w:tc>
          <w:tcPr>
            <w:tcW w:w="1033" w:type="pct"/>
            <w:shd w:val="clear" w:color="auto" w:fill="auto"/>
            <w:noWrap/>
          </w:tcPr>
          <w:p w14:paraId="69699D49" w14:textId="77777777" w:rsidR="007A5ADD" w:rsidRPr="00EE7169" w:rsidRDefault="007A5ADD" w:rsidP="0033675D">
            <w:pPr>
              <w:autoSpaceDE w:val="0"/>
              <w:autoSpaceDN w:val="0"/>
              <w:adjustRightInd w:val="0"/>
              <w:spacing w:after="60"/>
              <w:jc w:val="left"/>
              <w:rPr>
                <w:rFonts w:ascii="Garamond" w:hAnsi="Garamond"/>
                <w:kern w:val="0"/>
                <w:szCs w:val="21"/>
              </w:rPr>
            </w:pPr>
            <w:r w:rsidRPr="00EE7169">
              <w:rPr>
                <w:rFonts w:ascii="Garamond" w:hAnsi="Garamond"/>
                <w:kern w:val="0"/>
                <w:szCs w:val="21"/>
              </w:rPr>
              <w:t>Prefecture GDP per capita</w:t>
            </w:r>
          </w:p>
        </w:tc>
        <w:tc>
          <w:tcPr>
            <w:tcW w:w="3967" w:type="pct"/>
            <w:shd w:val="clear" w:color="auto" w:fill="auto"/>
            <w:noWrap/>
          </w:tcPr>
          <w:p w14:paraId="13C3E558" w14:textId="77777777" w:rsidR="007A5ADD" w:rsidRPr="00EE7169" w:rsidRDefault="007A5ADD" w:rsidP="0033675D">
            <w:pPr>
              <w:spacing w:after="60"/>
              <w:rPr>
                <w:rFonts w:ascii="Garamond" w:hAnsi="Garamond"/>
                <w:color w:val="000000"/>
                <w:szCs w:val="21"/>
              </w:rPr>
            </w:pPr>
            <w:r w:rsidRPr="00EE7169">
              <w:rPr>
                <w:rFonts w:ascii="Garamond" w:hAnsi="Garamond"/>
                <w:szCs w:val="21"/>
              </w:rPr>
              <w:t>Annual per capita GDP</w:t>
            </w:r>
            <w:r w:rsidRPr="00EE7169">
              <w:rPr>
                <w:rFonts w:ascii="Garamond" w:hAnsi="Garamond"/>
                <w:color w:val="000000"/>
                <w:szCs w:val="21"/>
              </w:rPr>
              <w:t xml:space="preserve"> </w:t>
            </w:r>
            <w:r w:rsidRPr="00EE7169">
              <w:rPr>
                <w:rFonts w:ascii="Garamond" w:hAnsi="Garamond"/>
                <w:szCs w:val="21"/>
              </w:rPr>
              <w:t>in the firm’s prefecture.  Source: Public Finance Statistical Materials of Prefectures, Cities, and Counties (1998-2005).</w:t>
            </w:r>
          </w:p>
        </w:tc>
      </w:tr>
      <w:tr w:rsidR="007A5ADD" w:rsidRPr="00EE7169" w14:paraId="7D87C95D" w14:textId="77777777" w:rsidTr="0033675D">
        <w:trPr>
          <w:jc w:val="center"/>
        </w:trPr>
        <w:tc>
          <w:tcPr>
            <w:tcW w:w="1033" w:type="pct"/>
            <w:shd w:val="clear" w:color="auto" w:fill="auto"/>
            <w:noWrap/>
          </w:tcPr>
          <w:p w14:paraId="4D47B1DE"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Prefecture fiscal revenue per capita</w:t>
            </w:r>
          </w:p>
        </w:tc>
        <w:tc>
          <w:tcPr>
            <w:tcW w:w="3967" w:type="pct"/>
            <w:shd w:val="clear" w:color="auto" w:fill="auto"/>
            <w:noWrap/>
          </w:tcPr>
          <w:p w14:paraId="527F6D0F" w14:textId="77777777" w:rsidR="007A5ADD" w:rsidRPr="00EE7169" w:rsidRDefault="007A5ADD" w:rsidP="0033675D">
            <w:pPr>
              <w:spacing w:after="60"/>
              <w:rPr>
                <w:rFonts w:ascii="Garamond" w:hAnsi="Garamond"/>
                <w:color w:val="000000"/>
                <w:szCs w:val="21"/>
              </w:rPr>
            </w:pPr>
            <w:r w:rsidRPr="00EE7169">
              <w:rPr>
                <w:rFonts w:ascii="Garamond" w:hAnsi="Garamond"/>
                <w:szCs w:val="21"/>
              </w:rPr>
              <w:t>Annual per capita GDP</w:t>
            </w:r>
            <w:r w:rsidRPr="00EE7169">
              <w:rPr>
                <w:rFonts w:ascii="Garamond" w:hAnsi="Garamond"/>
                <w:color w:val="000000"/>
                <w:szCs w:val="21"/>
              </w:rPr>
              <w:t xml:space="preserve"> fiscal revenue </w:t>
            </w:r>
            <w:r w:rsidRPr="00EE7169">
              <w:rPr>
                <w:rFonts w:ascii="Garamond" w:hAnsi="Garamond"/>
                <w:szCs w:val="21"/>
              </w:rPr>
              <w:t>in the firm’s prefecture. Source: Public Finance Statistical Materials of Prefectures, Cities, and Counties (1998-2005).</w:t>
            </w:r>
          </w:p>
        </w:tc>
      </w:tr>
      <w:tr w:rsidR="007A5ADD" w:rsidRPr="00EE7169" w14:paraId="2FF1C53D" w14:textId="77777777" w:rsidTr="0033675D">
        <w:trPr>
          <w:jc w:val="center"/>
        </w:trPr>
        <w:tc>
          <w:tcPr>
            <w:tcW w:w="1033" w:type="pct"/>
            <w:shd w:val="clear" w:color="auto" w:fill="auto"/>
            <w:noWrap/>
          </w:tcPr>
          <w:p w14:paraId="5D44EAB9"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Prefecture fiscal autonomy</w:t>
            </w:r>
          </w:p>
        </w:tc>
        <w:tc>
          <w:tcPr>
            <w:tcW w:w="3967" w:type="pct"/>
            <w:shd w:val="clear" w:color="auto" w:fill="auto"/>
            <w:noWrap/>
          </w:tcPr>
          <w:p w14:paraId="37ED9173" w14:textId="77777777" w:rsidR="007A5ADD" w:rsidRPr="00EE7169" w:rsidRDefault="007A5ADD" w:rsidP="0033675D">
            <w:pPr>
              <w:spacing w:after="60"/>
              <w:rPr>
                <w:rFonts w:ascii="Garamond" w:hAnsi="Garamond"/>
                <w:color w:val="000000"/>
                <w:szCs w:val="21"/>
              </w:rPr>
            </w:pPr>
            <w:r w:rsidRPr="00EE7169">
              <w:rPr>
                <w:rFonts w:ascii="Garamond" w:hAnsi="Garamond"/>
                <w:color w:val="000000"/>
                <w:szCs w:val="21"/>
              </w:rPr>
              <w:t xml:space="preserve">Ratio of fiscal revenue to fiscal expenditure </w:t>
            </w:r>
            <w:r w:rsidRPr="00EE7169">
              <w:rPr>
                <w:rFonts w:ascii="Garamond" w:hAnsi="Garamond"/>
                <w:szCs w:val="21"/>
              </w:rPr>
              <w:t>in the firm’s prefecture.  Source: Public Finance Statistical Materials of Prefectures, Cities, and Counties (1998-2005).</w:t>
            </w:r>
          </w:p>
        </w:tc>
      </w:tr>
      <w:tr w:rsidR="007A5ADD" w:rsidRPr="00EE7169" w14:paraId="699A6FC8" w14:textId="77777777" w:rsidTr="0033675D">
        <w:trPr>
          <w:jc w:val="center"/>
        </w:trPr>
        <w:tc>
          <w:tcPr>
            <w:tcW w:w="1033" w:type="pct"/>
            <w:shd w:val="clear" w:color="auto" w:fill="auto"/>
            <w:noWrap/>
          </w:tcPr>
          <w:p w14:paraId="6928948B" w14:textId="77777777" w:rsidR="007A5ADD" w:rsidRPr="00EE7169" w:rsidRDefault="007A5ADD" w:rsidP="0033675D">
            <w:pPr>
              <w:autoSpaceDE w:val="0"/>
              <w:autoSpaceDN w:val="0"/>
              <w:adjustRightInd w:val="0"/>
              <w:spacing w:after="60"/>
              <w:jc w:val="left"/>
              <w:rPr>
                <w:rFonts w:ascii="Garamond" w:hAnsi="Garamond"/>
                <w:kern w:val="0"/>
                <w:szCs w:val="21"/>
              </w:rPr>
            </w:pPr>
            <w:r w:rsidRPr="00EE7169">
              <w:rPr>
                <w:rFonts w:ascii="Garamond" w:hAnsi="Garamond"/>
                <w:kern w:val="0"/>
                <w:szCs w:val="21"/>
              </w:rPr>
              <w:t>County GDP p.c.</w:t>
            </w:r>
          </w:p>
        </w:tc>
        <w:tc>
          <w:tcPr>
            <w:tcW w:w="3967" w:type="pct"/>
            <w:shd w:val="clear" w:color="auto" w:fill="auto"/>
            <w:noWrap/>
          </w:tcPr>
          <w:p w14:paraId="54D77B1A" w14:textId="77777777" w:rsidR="007A5ADD" w:rsidRPr="00EE7169" w:rsidRDefault="007A5ADD" w:rsidP="0033675D">
            <w:pPr>
              <w:spacing w:after="60"/>
              <w:rPr>
                <w:rFonts w:ascii="Garamond" w:hAnsi="Garamond"/>
                <w:color w:val="000000"/>
                <w:szCs w:val="21"/>
              </w:rPr>
            </w:pPr>
            <w:r w:rsidRPr="00EE7169">
              <w:rPr>
                <w:rFonts w:ascii="Garamond" w:hAnsi="Garamond"/>
                <w:szCs w:val="21"/>
              </w:rPr>
              <w:t>Annual per capita GDP</w:t>
            </w:r>
            <w:r w:rsidRPr="00EE7169">
              <w:rPr>
                <w:rFonts w:ascii="Garamond" w:hAnsi="Garamond"/>
                <w:color w:val="000000"/>
                <w:szCs w:val="21"/>
              </w:rPr>
              <w:t xml:space="preserve"> </w:t>
            </w:r>
            <w:r w:rsidRPr="00EE7169">
              <w:rPr>
                <w:rFonts w:ascii="Garamond" w:hAnsi="Garamond"/>
                <w:szCs w:val="21"/>
              </w:rPr>
              <w:t>in the firm’s county.  Source: Public Finance Statistical Materials of Prefectures, Cities, and Counties (1998-2005).</w:t>
            </w:r>
          </w:p>
        </w:tc>
      </w:tr>
      <w:tr w:rsidR="007A5ADD" w:rsidRPr="00EE7169" w14:paraId="207BAF15" w14:textId="77777777" w:rsidTr="0033675D">
        <w:trPr>
          <w:jc w:val="center"/>
        </w:trPr>
        <w:tc>
          <w:tcPr>
            <w:tcW w:w="1033" w:type="pct"/>
            <w:shd w:val="clear" w:color="auto" w:fill="auto"/>
            <w:noWrap/>
          </w:tcPr>
          <w:p w14:paraId="64BF359A" w14:textId="77777777" w:rsidR="007A5ADD" w:rsidRPr="00EE7169" w:rsidRDefault="007A5ADD" w:rsidP="0033675D">
            <w:pPr>
              <w:autoSpaceDE w:val="0"/>
              <w:autoSpaceDN w:val="0"/>
              <w:adjustRightInd w:val="0"/>
              <w:spacing w:after="60"/>
              <w:jc w:val="left"/>
              <w:rPr>
                <w:rFonts w:ascii="Garamond" w:hAnsi="Garamond"/>
                <w:kern w:val="0"/>
                <w:szCs w:val="21"/>
              </w:rPr>
            </w:pPr>
            <w:r w:rsidRPr="00EE7169">
              <w:rPr>
                <w:rFonts w:ascii="Garamond" w:hAnsi="Garamond"/>
                <w:kern w:val="0"/>
                <w:szCs w:val="21"/>
              </w:rPr>
              <w:t>County fiscal revenue per capita</w:t>
            </w:r>
          </w:p>
        </w:tc>
        <w:tc>
          <w:tcPr>
            <w:tcW w:w="3967" w:type="pct"/>
            <w:shd w:val="clear" w:color="auto" w:fill="auto"/>
            <w:noWrap/>
          </w:tcPr>
          <w:p w14:paraId="16784F02" w14:textId="77777777" w:rsidR="007A5ADD" w:rsidRPr="00EE7169" w:rsidRDefault="007A5ADD" w:rsidP="0033675D">
            <w:pPr>
              <w:spacing w:after="60"/>
              <w:rPr>
                <w:rFonts w:ascii="Garamond" w:hAnsi="Garamond"/>
                <w:color w:val="000000"/>
                <w:szCs w:val="21"/>
              </w:rPr>
            </w:pPr>
            <w:r w:rsidRPr="00EE7169">
              <w:rPr>
                <w:rFonts w:ascii="Garamond" w:hAnsi="Garamond"/>
                <w:szCs w:val="21"/>
              </w:rPr>
              <w:t>Annual per capita GDP</w:t>
            </w:r>
            <w:r w:rsidRPr="00EE7169">
              <w:rPr>
                <w:rFonts w:ascii="Garamond" w:hAnsi="Garamond"/>
                <w:color w:val="000000"/>
                <w:szCs w:val="21"/>
              </w:rPr>
              <w:t xml:space="preserve"> fiscal revenue </w:t>
            </w:r>
            <w:r w:rsidRPr="00EE7169">
              <w:rPr>
                <w:rFonts w:ascii="Garamond" w:hAnsi="Garamond"/>
                <w:szCs w:val="21"/>
              </w:rPr>
              <w:t xml:space="preserve">in the firm’s county.  Source: Public Finance Statistical Materials of Prefectures, Cities, and Counties (1998-2005). </w:t>
            </w:r>
          </w:p>
        </w:tc>
      </w:tr>
      <w:tr w:rsidR="007A5ADD" w:rsidRPr="00EE7169" w14:paraId="0B0F2078" w14:textId="77777777" w:rsidTr="0033675D">
        <w:trPr>
          <w:jc w:val="center"/>
        </w:trPr>
        <w:tc>
          <w:tcPr>
            <w:tcW w:w="1033" w:type="pct"/>
            <w:shd w:val="clear" w:color="auto" w:fill="auto"/>
            <w:noWrap/>
          </w:tcPr>
          <w:p w14:paraId="43F88AAD" w14:textId="77777777" w:rsidR="007A5ADD" w:rsidRPr="00EE7169" w:rsidRDefault="007A5ADD" w:rsidP="0033675D">
            <w:pPr>
              <w:autoSpaceDE w:val="0"/>
              <w:autoSpaceDN w:val="0"/>
              <w:adjustRightInd w:val="0"/>
              <w:spacing w:after="60"/>
              <w:jc w:val="left"/>
              <w:rPr>
                <w:rFonts w:ascii="Garamond" w:hAnsi="Garamond"/>
                <w:kern w:val="0"/>
                <w:szCs w:val="21"/>
              </w:rPr>
            </w:pPr>
            <w:r w:rsidRPr="00EE7169">
              <w:rPr>
                <w:rFonts w:ascii="Garamond" w:hAnsi="Garamond"/>
                <w:kern w:val="0"/>
                <w:szCs w:val="21"/>
              </w:rPr>
              <w:t>County fiscal autonomy</w:t>
            </w:r>
          </w:p>
        </w:tc>
        <w:tc>
          <w:tcPr>
            <w:tcW w:w="3967" w:type="pct"/>
            <w:shd w:val="clear" w:color="auto" w:fill="auto"/>
            <w:noWrap/>
          </w:tcPr>
          <w:p w14:paraId="30ECE4B7" w14:textId="77777777" w:rsidR="007A5ADD" w:rsidRPr="00EE7169" w:rsidRDefault="007A5ADD" w:rsidP="0033675D">
            <w:pPr>
              <w:spacing w:after="60"/>
              <w:rPr>
                <w:rFonts w:ascii="Garamond" w:hAnsi="Garamond"/>
                <w:color w:val="000000"/>
                <w:szCs w:val="21"/>
              </w:rPr>
            </w:pPr>
            <w:r w:rsidRPr="00EE7169">
              <w:rPr>
                <w:rFonts w:ascii="Garamond" w:hAnsi="Garamond"/>
                <w:color w:val="000000"/>
                <w:szCs w:val="21"/>
              </w:rPr>
              <w:t xml:space="preserve">Ratio of fiscal revenue to fiscal expenditure </w:t>
            </w:r>
            <w:r w:rsidRPr="00EE7169">
              <w:rPr>
                <w:rFonts w:ascii="Garamond" w:hAnsi="Garamond"/>
                <w:szCs w:val="21"/>
              </w:rPr>
              <w:t xml:space="preserve">in the firm’s county.  Source: Public Finance Statistical Materials of Prefectures, Cities, and Counties (1998-2005). </w:t>
            </w:r>
          </w:p>
        </w:tc>
      </w:tr>
      <w:tr w:rsidR="007A5ADD" w:rsidRPr="00EE7169" w14:paraId="72107FD3" w14:textId="77777777" w:rsidTr="0033675D">
        <w:trPr>
          <w:jc w:val="center"/>
        </w:trPr>
        <w:tc>
          <w:tcPr>
            <w:tcW w:w="1033" w:type="pct"/>
            <w:shd w:val="clear" w:color="auto" w:fill="auto"/>
            <w:noWrap/>
          </w:tcPr>
          <w:p w14:paraId="5E5D42DB" w14:textId="77777777" w:rsidR="007A5ADD" w:rsidRPr="00EE7169" w:rsidRDefault="007A5ADD" w:rsidP="0033675D">
            <w:pPr>
              <w:widowControl/>
              <w:spacing w:after="60"/>
              <w:ind w:left="210" w:hangingChars="100" w:hanging="210"/>
              <w:jc w:val="left"/>
              <w:rPr>
                <w:rFonts w:ascii="Garamond" w:hAnsi="Garamond"/>
                <w:color w:val="000000"/>
                <w:kern w:val="0"/>
                <w:szCs w:val="21"/>
              </w:rPr>
            </w:pPr>
            <w:r w:rsidRPr="00EE7169">
              <w:rPr>
                <w:rFonts w:ascii="Garamond" w:hAnsi="Garamond"/>
                <w:kern w:val="0"/>
                <w:szCs w:val="21"/>
              </w:rPr>
              <w:t>TFP dispersion</w:t>
            </w:r>
          </w:p>
        </w:tc>
        <w:tc>
          <w:tcPr>
            <w:tcW w:w="3967" w:type="pct"/>
            <w:shd w:val="clear" w:color="auto" w:fill="auto"/>
            <w:noWrap/>
          </w:tcPr>
          <w:p w14:paraId="3ADAAC4B"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color w:val="000000"/>
                <w:kern w:val="0"/>
                <w:szCs w:val="21"/>
              </w:rPr>
              <w:t>Standard deviation of firm TFP in the same 3-digit industry</w:t>
            </w:r>
          </w:p>
        </w:tc>
      </w:tr>
      <w:tr w:rsidR="007A5ADD" w:rsidRPr="00EE7169" w14:paraId="76F1A6DD" w14:textId="77777777" w:rsidTr="0033675D">
        <w:trPr>
          <w:jc w:val="center"/>
        </w:trPr>
        <w:tc>
          <w:tcPr>
            <w:tcW w:w="1033" w:type="pct"/>
            <w:shd w:val="clear" w:color="auto" w:fill="auto"/>
            <w:noWrap/>
          </w:tcPr>
          <w:p w14:paraId="7E04C5E6" w14:textId="77777777" w:rsidR="007A5ADD" w:rsidRPr="00EE7169" w:rsidRDefault="007A5ADD" w:rsidP="0033675D">
            <w:pPr>
              <w:widowControl/>
              <w:spacing w:after="60"/>
              <w:ind w:left="210" w:hangingChars="100" w:hanging="210"/>
              <w:jc w:val="left"/>
              <w:rPr>
                <w:rFonts w:ascii="Garamond" w:hAnsi="Garamond"/>
                <w:kern w:val="0"/>
                <w:szCs w:val="21"/>
              </w:rPr>
            </w:pPr>
            <w:r w:rsidRPr="00EE7169">
              <w:rPr>
                <w:rFonts w:ascii="Garamond" w:hAnsi="Garamond"/>
                <w:kern w:val="0"/>
                <w:szCs w:val="21"/>
              </w:rPr>
              <w:t>ROS dispersion</w:t>
            </w:r>
          </w:p>
        </w:tc>
        <w:tc>
          <w:tcPr>
            <w:tcW w:w="3967" w:type="pct"/>
            <w:shd w:val="clear" w:color="auto" w:fill="auto"/>
            <w:noWrap/>
          </w:tcPr>
          <w:p w14:paraId="1828F953"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color w:val="000000"/>
                <w:kern w:val="0"/>
                <w:szCs w:val="21"/>
              </w:rPr>
              <w:t>Standard deviation of firm ROS in the same 3-digit industry</w:t>
            </w:r>
          </w:p>
        </w:tc>
      </w:tr>
      <w:tr w:rsidR="007A5ADD" w:rsidRPr="00EE7169" w14:paraId="33798545" w14:textId="77777777" w:rsidTr="0033675D">
        <w:trPr>
          <w:jc w:val="center"/>
        </w:trPr>
        <w:tc>
          <w:tcPr>
            <w:tcW w:w="1033" w:type="pct"/>
            <w:shd w:val="clear" w:color="auto" w:fill="auto"/>
            <w:noWrap/>
          </w:tcPr>
          <w:p w14:paraId="2F9B5197" w14:textId="77777777" w:rsidR="007A5ADD" w:rsidRPr="00EE7169" w:rsidRDefault="007A5ADD" w:rsidP="0033675D">
            <w:pPr>
              <w:widowControl/>
              <w:spacing w:after="60"/>
              <w:jc w:val="left"/>
              <w:rPr>
                <w:rFonts w:ascii="Garamond" w:hAnsi="Garamond"/>
                <w:kern w:val="0"/>
                <w:szCs w:val="21"/>
              </w:rPr>
            </w:pPr>
            <w:r w:rsidRPr="00EE7169">
              <w:rPr>
                <w:rFonts w:ascii="Garamond" w:hAnsi="Garamond"/>
                <w:kern w:val="0"/>
                <w:szCs w:val="21"/>
              </w:rPr>
              <w:t>Intangibility</w:t>
            </w:r>
          </w:p>
        </w:tc>
        <w:tc>
          <w:tcPr>
            <w:tcW w:w="3967" w:type="pct"/>
            <w:shd w:val="clear" w:color="auto" w:fill="auto"/>
            <w:noWrap/>
          </w:tcPr>
          <w:p w14:paraId="7495D782"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color w:val="000000"/>
                <w:kern w:val="0"/>
                <w:szCs w:val="21"/>
              </w:rPr>
              <w:t>Average ratio of intangible assets to firm total assets in the same 3-digit industry</w:t>
            </w:r>
          </w:p>
        </w:tc>
      </w:tr>
      <w:tr w:rsidR="007A5ADD" w:rsidRPr="00EE7169" w14:paraId="63063118" w14:textId="77777777" w:rsidTr="0033675D">
        <w:trPr>
          <w:jc w:val="center"/>
        </w:trPr>
        <w:tc>
          <w:tcPr>
            <w:tcW w:w="1033" w:type="pct"/>
            <w:shd w:val="clear" w:color="auto" w:fill="auto"/>
            <w:noWrap/>
          </w:tcPr>
          <w:p w14:paraId="57FA8966"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Province telecom infrastructure</w:t>
            </w:r>
          </w:p>
        </w:tc>
        <w:tc>
          <w:tcPr>
            <w:tcW w:w="3967" w:type="pct"/>
            <w:shd w:val="clear" w:color="auto" w:fill="auto"/>
            <w:noWrap/>
          </w:tcPr>
          <w:p w14:paraId="4175E605"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color w:val="000000"/>
                <w:kern w:val="0"/>
                <w:szCs w:val="21"/>
              </w:rPr>
              <w:t>Per capita number of mobile phone and fixed telephone users</w:t>
            </w:r>
          </w:p>
        </w:tc>
      </w:tr>
      <w:tr w:rsidR="007A5ADD" w:rsidRPr="00EE7169" w14:paraId="434EBB81" w14:textId="77777777" w:rsidTr="0033675D">
        <w:trPr>
          <w:jc w:val="center"/>
        </w:trPr>
        <w:tc>
          <w:tcPr>
            <w:tcW w:w="1033" w:type="pct"/>
            <w:shd w:val="clear" w:color="auto" w:fill="auto"/>
            <w:noWrap/>
          </w:tcPr>
          <w:p w14:paraId="7F965968"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Province internet infrastructure</w:t>
            </w:r>
          </w:p>
        </w:tc>
        <w:tc>
          <w:tcPr>
            <w:tcW w:w="3967" w:type="pct"/>
            <w:shd w:val="clear" w:color="auto" w:fill="auto"/>
            <w:noWrap/>
          </w:tcPr>
          <w:p w14:paraId="45F0D601"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color w:val="000000"/>
                <w:kern w:val="0"/>
                <w:szCs w:val="21"/>
              </w:rPr>
              <w:t>Per capita number of internet users</w:t>
            </w:r>
          </w:p>
        </w:tc>
      </w:tr>
      <w:tr w:rsidR="007A5ADD" w:rsidRPr="00EE7169" w14:paraId="69704B50" w14:textId="77777777" w:rsidTr="0033675D">
        <w:trPr>
          <w:jc w:val="center"/>
        </w:trPr>
        <w:tc>
          <w:tcPr>
            <w:tcW w:w="1033" w:type="pct"/>
            <w:shd w:val="clear" w:color="auto" w:fill="auto"/>
            <w:noWrap/>
          </w:tcPr>
          <w:p w14:paraId="3E7C2738" w14:textId="77777777" w:rsidR="007A5ADD" w:rsidRPr="00EE7169" w:rsidRDefault="007A5ADD" w:rsidP="0033675D">
            <w:pPr>
              <w:autoSpaceDE w:val="0"/>
              <w:autoSpaceDN w:val="0"/>
              <w:adjustRightInd w:val="0"/>
              <w:spacing w:after="60"/>
              <w:ind w:left="210" w:hangingChars="100" w:hanging="210"/>
              <w:jc w:val="left"/>
              <w:rPr>
                <w:rFonts w:ascii="Garamond" w:hAnsi="Garamond"/>
                <w:kern w:val="0"/>
                <w:szCs w:val="21"/>
              </w:rPr>
            </w:pPr>
            <w:r w:rsidRPr="00EE7169">
              <w:rPr>
                <w:rFonts w:ascii="Garamond" w:hAnsi="Garamond"/>
                <w:kern w:val="0"/>
                <w:szCs w:val="21"/>
              </w:rPr>
              <w:t>Province road mileage</w:t>
            </w:r>
          </w:p>
        </w:tc>
        <w:tc>
          <w:tcPr>
            <w:tcW w:w="3967" w:type="pct"/>
            <w:shd w:val="clear" w:color="auto" w:fill="auto"/>
            <w:noWrap/>
          </w:tcPr>
          <w:p w14:paraId="3BF963A3" w14:textId="77777777" w:rsidR="007A5ADD" w:rsidRPr="00EE7169" w:rsidRDefault="007A5ADD" w:rsidP="0033675D">
            <w:pPr>
              <w:widowControl/>
              <w:spacing w:after="60"/>
              <w:jc w:val="left"/>
              <w:rPr>
                <w:rFonts w:ascii="Garamond" w:hAnsi="Garamond"/>
                <w:color w:val="000000"/>
                <w:kern w:val="0"/>
                <w:szCs w:val="21"/>
              </w:rPr>
            </w:pPr>
            <w:r w:rsidRPr="00EE7169">
              <w:rPr>
                <w:rFonts w:ascii="Garamond" w:hAnsi="Garamond"/>
                <w:color w:val="000000"/>
                <w:kern w:val="0"/>
                <w:szCs w:val="21"/>
              </w:rPr>
              <w:t>Per capita road mileage. Different levels of roads and railway are translated into the equivalent of second-level road according to transport capacity.</w:t>
            </w:r>
          </w:p>
        </w:tc>
      </w:tr>
    </w:tbl>
    <w:p w14:paraId="54BDE363" w14:textId="77777777" w:rsidR="007A5ADD" w:rsidRPr="00EE7169" w:rsidRDefault="007A5ADD" w:rsidP="00F117B9">
      <w:pPr>
        <w:widowControl/>
        <w:rPr>
          <w:rFonts w:ascii="Garamond" w:eastAsia="STFangsong" w:hAnsi="Garamond"/>
          <w:b/>
          <w:sz w:val="24"/>
          <w:szCs w:val="24"/>
        </w:rPr>
      </w:pPr>
    </w:p>
    <w:p w14:paraId="0E09B0C6" w14:textId="77777777" w:rsidR="00016831" w:rsidRPr="00EE7169" w:rsidRDefault="00016831" w:rsidP="00F117B9">
      <w:pPr>
        <w:widowControl/>
        <w:rPr>
          <w:rFonts w:ascii="Garamond" w:eastAsia="STFangsong" w:hAnsi="Garamond"/>
          <w:b/>
          <w:sz w:val="24"/>
          <w:szCs w:val="24"/>
        </w:rPr>
      </w:pPr>
    </w:p>
    <w:p w14:paraId="24CF4F8F" w14:textId="77777777" w:rsidR="00016831" w:rsidRPr="00EE7169" w:rsidRDefault="00016831" w:rsidP="00F117B9">
      <w:pPr>
        <w:widowControl/>
        <w:rPr>
          <w:rFonts w:ascii="Garamond" w:eastAsia="STFangsong" w:hAnsi="Garamond"/>
          <w:b/>
          <w:sz w:val="24"/>
          <w:szCs w:val="24"/>
        </w:rPr>
      </w:pPr>
    </w:p>
    <w:p w14:paraId="63F0B567" w14:textId="77777777" w:rsidR="00FC0453" w:rsidRPr="00EE7169" w:rsidRDefault="00FC0453" w:rsidP="00585786">
      <w:pPr>
        <w:widowControl/>
        <w:jc w:val="center"/>
        <w:rPr>
          <w:rFonts w:ascii="Garamond" w:eastAsia="STFangsong" w:hAnsi="Garamond"/>
          <w:b/>
          <w:sz w:val="24"/>
          <w:szCs w:val="24"/>
        </w:rPr>
      </w:pPr>
    </w:p>
    <w:p w14:paraId="246C2F93" w14:textId="77777777" w:rsidR="00FC0453" w:rsidRPr="00EE7169" w:rsidRDefault="00FC0453" w:rsidP="00585786">
      <w:pPr>
        <w:widowControl/>
        <w:jc w:val="center"/>
        <w:rPr>
          <w:rFonts w:ascii="Garamond" w:eastAsia="STFangsong" w:hAnsi="Garamond"/>
          <w:b/>
          <w:sz w:val="24"/>
          <w:szCs w:val="24"/>
        </w:rPr>
      </w:pPr>
    </w:p>
    <w:p w14:paraId="6569E2B5" w14:textId="77777777" w:rsidR="00FC0453" w:rsidRPr="00EE7169" w:rsidRDefault="00FC0453" w:rsidP="00585786">
      <w:pPr>
        <w:widowControl/>
        <w:jc w:val="center"/>
        <w:rPr>
          <w:rFonts w:ascii="Garamond" w:eastAsia="STFangsong" w:hAnsi="Garamond"/>
          <w:b/>
          <w:sz w:val="24"/>
          <w:szCs w:val="24"/>
        </w:rPr>
      </w:pPr>
    </w:p>
    <w:p w14:paraId="2A2B1E76" w14:textId="77777777" w:rsidR="00FC0453" w:rsidRPr="00EE7169" w:rsidRDefault="00FC0453" w:rsidP="00585786">
      <w:pPr>
        <w:widowControl/>
        <w:jc w:val="center"/>
        <w:rPr>
          <w:rFonts w:ascii="Garamond" w:eastAsia="STFangsong" w:hAnsi="Garamond"/>
          <w:b/>
          <w:sz w:val="24"/>
          <w:szCs w:val="24"/>
        </w:rPr>
      </w:pPr>
    </w:p>
    <w:p w14:paraId="533C4D23" w14:textId="77777777" w:rsidR="00FC0453" w:rsidRPr="00EE7169" w:rsidRDefault="00FC0453" w:rsidP="00585786">
      <w:pPr>
        <w:widowControl/>
        <w:jc w:val="center"/>
        <w:rPr>
          <w:rFonts w:ascii="Garamond" w:eastAsia="STFangsong" w:hAnsi="Garamond"/>
          <w:b/>
          <w:sz w:val="24"/>
          <w:szCs w:val="24"/>
        </w:rPr>
      </w:pPr>
    </w:p>
    <w:p w14:paraId="4B68215D" w14:textId="77777777" w:rsidR="00FC0453" w:rsidRPr="00EE7169" w:rsidRDefault="00FC0453" w:rsidP="00585786">
      <w:pPr>
        <w:widowControl/>
        <w:jc w:val="center"/>
        <w:rPr>
          <w:rFonts w:ascii="Garamond" w:eastAsia="STFangsong" w:hAnsi="Garamond"/>
          <w:b/>
          <w:sz w:val="24"/>
          <w:szCs w:val="24"/>
        </w:rPr>
      </w:pPr>
    </w:p>
    <w:p w14:paraId="74D4CAF8" w14:textId="77777777" w:rsidR="00FC0453" w:rsidRPr="00EE7169" w:rsidRDefault="00FC0453" w:rsidP="00585786">
      <w:pPr>
        <w:widowControl/>
        <w:jc w:val="center"/>
        <w:rPr>
          <w:rFonts w:ascii="Garamond" w:eastAsia="STFangsong" w:hAnsi="Garamond"/>
          <w:b/>
          <w:sz w:val="24"/>
          <w:szCs w:val="24"/>
        </w:rPr>
      </w:pPr>
    </w:p>
    <w:p w14:paraId="227B724C" w14:textId="77777777" w:rsidR="00FC0453" w:rsidRPr="00EE7169" w:rsidRDefault="00FC0453" w:rsidP="00585786">
      <w:pPr>
        <w:widowControl/>
        <w:jc w:val="center"/>
        <w:rPr>
          <w:rFonts w:ascii="Garamond" w:eastAsia="STFangsong" w:hAnsi="Garamond"/>
          <w:b/>
          <w:sz w:val="24"/>
          <w:szCs w:val="24"/>
        </w:rPr>
      </w:pPr>
    </w:p>
    <w:p w14:paraId="74DC9E28" w14:textId="77777777" w:rsidR="00FC0453" w:rsidRPr="00EE7169" w:rsidRDefault="00FC0453" w:rsidP="00585786">
      <w:pPr>
        <w:widowControl/>
        <w:jc w:val="center"/>
        <w:rPr>
          <w:rFonts w:ascii="Garamond" w:eastAsia="STFangsong" w:hAnsi="Garamond"/>
          <w:b/>
          <w:sz w:val="24"/>
          <w:szCs w:val="24"/>
        </w:rPr>
      </w:pPr>
    </w:p>
    <w:p w14:paraId="4EAC487C" w14:textId="77777777" w:rsidR="00FC0453" w:rsidRPr="00EE7169" w:rsidRDefault="00FC0453" w:rsidP="00585786">
      <w:pPr>
        <w:widowControl/>
        <w:jc w:val="center"/>
        <w:rPr>
          <w:rFonts w:ascii="Garamond" w:eastAsia="STFangsong" w:hAnsi="Garamond"/>
          <w:b/>
          <w:sz w:val="24"/>
          <w:szCs w:val="24"/>
        </w:rPr>
      </w:pPr>
    </w:p>
    <w:p w14:paraId="4265A2BA" w14:textId="77777777" w:rsidR="00FC0453" w:rsidRPr="00EE7169" w:rsidRDefault="00FC0453" w:rsidP="00585786">
      <w:pPr>
        <w:widowControl/>
        <w:jc w:val="center"/>
        <w:rPr>
          <w:rFonts w:ascii="Garamond" w:eastAsia="STFangsong" w:hAnsi="Garamond"/>
          <w:b/>
          <w:sz w:val="24"/>
          <w:szCs w:val="24"/>
        </w:rPr>
      </w:pPr>
    </w:p>
    <w:p w14:paraId="402BDA32" w14:textId="5E51270A" w:rsidR="00F117B9" w:rsidRPr="00EE7169" w:rsidRDefault="00F117B9" w:rsidP="00585786">
      <w:pPr>
        <w:widowControl/>
        <w:jc w:val="center"/>
        <w:rPr>
          <w:rFonts w:ascii="Garamond" w:hAnsi="Garamond"/>
          <w:b/>
          <w:color w:val="000000"/>
          <w:kern w:val="0"/>
          <w:sz w:val="22"/>
        </w:rPr>
      </w:pPr>
      <w:r w:rsidRPr="00EE7169">
        <w:rPr>
          <w:rFonts w:ascii="Garamond" w:eastAsia="STFangsong" w:hAnsi="Garamond"/>
          <w:b/>
          <w:sz w:val="24"/>
          <w:szCs w:val="24"/>
        </w:rPr>
        <w:t xml:space="preserve">Appendix Table </w:t>
      </w:r>
      <w:r w:rsidR="0085577B" w:rsidRPr="00EE7169">
        <w:rPr>
          <w:rFonts w:ascii="Garamond" w:eastAsia="STFangsong" w:hAnsi="Garamond"/>
          <w:b/>
          <w:sz w:val="24"/>
          <w:szCs w:val="24"/>
        </w:rPr>
        <w:t>B</w:t>
      </w:r>
      <w:r w:rsidRPr="00EE7169">
        <w:rPr>
          <w:rFonts w:ascii="Garamond" w:eastAsia="STFangsong" w:hAnsi="Garamond"/>
          <w:b/>
          <w:sz w:val="24"/>
          <w:szCs w:val="24"/>
        </w:rPr>
        <w:t xml:space="preserve">: </w:t>
      </w:r>
      <w:r w:rsidRPr="00EE7169">
        <w:rPr>
          <w:rFonts w:ascii="Garamond" w:hAnsi="Garamond"/>
          <w:b/>
          <w:color w:val="000000"/>
          <w:kern w:val="0"/>
          <w:sz w:val="22"/>
        </w:rPr>
        <w:t>Number of firms that were decentralized in different years</w:t>
      </w:r>
    </w:p>
    <w:p w14:paraId="6D5E814F" w14:textId="7636EF9A" w:rsidR="00630047" w:rsidRPr="00EE7169" w:rsidRDefault="00630047" w:rsidP="00630047">
      <w:pPr>
        <w:rPr>
          <w:rFonts w:ascii="Garamond" w:eastAsia="STFangsong" w:hAnsi="Garamond"/>
          <w:sz w:val="24"/>
          <w:szCs w:val="24"/>
        </w:rPr>
      </w:pPr>
      <w:r w:rsidRPr="00EE7169">
        <w:rPr>
          <w:rFonts w:ascii="Garamond" w:hAnsi="Garamond"/>
          <w:color w:val="000000"/>
          <w:kern w:val="0"/>
          <w:sz w:val="22"/>
        </w:rPr>
        <w:t>This table reports the number of SOEs that were decentralized during 1999-2007 in each year.</w:t>
      </w:r>
      <w:r w:rsidRPr="00EE7169">
        <w:rPr>
          <w:rFonts w:ascii="Garamond" w:hAnsi="Garamond"/>
        </w:rPr>
        <w:t xml:space="preserve"> </w:t>
      </w:r>
      <w:r w:rsidRPr="00EE7169">
        <w:rPr>
          <w:rFonts w:ascii="Garamond" w:hAnsi="Garamond"/>
          <w:color w:val="000000"/>
          <w:kern w:val="0"/>
          <w:sz w:val="22"/>
        </w:rPr>
        <w:t>A</w:t>
      </w:r>
      <w:r w:rsidR="005904DD">
        <w:rPr>
          <w:rFonts w:ascii="Garamond" w:hAnsi="Garamond" w:hint="eastAsia"/>
          <w:color w:val="000000"/>
          <w:kern w:val="0"/>
          <w:sz w:val="22"/>
        </w:rPr>
        <w:t>n</w:t>
      </w:r>
      <w:r w:rsidRPr="00EE7169">
        <w:rPr>
          <w:rFonts w:ascii="Garamond" w:hAnsi="Garamond"/>
          <w:color w:val="000000"/>
          <w:kern w:val="0"/>
          <w:sz w:val="22"/>
        </w:rPr>
        <w:t xml:space="preserve"> SOE is defined as </w:t>
      </w:r>
      <w:r w:rsidRPr="00EE7169">
        <w:rPr>
          <w:rFonts w:ascii="Garamond" w:hAnsi="Garamond"/>
          <w:i/>
          <w:color w:val="000000"/>
          <w:kern w:val="0"/>
          <w:sz w:val="22"/>
        </w:rPr>
        <w:t>decentralized</w:t>
      </w:r>
      <w:r w:rsidRPr="00EE7169">
        <w:rPr>
          <w:rFonts w:ascii="Garamond" w:hAnsi="Garamond"/>
          <w:color w:val="000000"/>
          <w:kern w:val="0"/>
          <w:sz w:val="22"/>
        </w:rPr>
        <w:t xml:space="preserve"> if </w:t>
      </w:r>
      <w:r w:rsidR="004A2FC7" w:rsidRPr="00EE7169">
        <w:rPr>
          <w:rFonts w:ascii="Garamond" w:hAnsi="Garamond"/>
          <w:color w:val="000000"/>
          <w:kern w:val="0"/>
          <w:sz w:val="22"/>
        </w:rPr>
        <w:t xml:space="preserve">its affiliation-level is changed </w:t>
      </w:r>
      <w:r w:rsidRPr="00EE7169">
        <w:rPr>
          <w:rFonts w:ascii="Garamond" w:hAnsi="Garamond"/>
          <w:color w:val="000000"/>
          <w:kern w:val="0"/>
          <w:sz w:val="22"/>
        </w:rPr>
        <w:t>from a higher level government to a lower level</w:t>
      </w:r>
      <w:r w:rsidR="004A2FC7" w:rsidRPr="00EE7169">
        <w:rPr>
          <w:rFonts w:ascii="Garamond" w:hAnsi="Garamond"/>
          <w:color w:val="000000"/>
          <w:kern w:val="0"/>
          <w:sz w:val="22"/>
        </w:rPr>
        <w:t xml:space="preserve"> government.</w:t>
      </w:r>
    </w:p>
    <w:tbl>
      <w:tblPr>
        <w:tblW w:w="2033" w:type="pct"/>
        <w:jc w:val="center"/>
        <w:tblBorders>
          <w:top w:val="single" w:sz="4" w:space="0" w:color="auto"/>
          <w:bottom w:val="single" w:sz="4" w:space="0" w:color="auto"/>
        </w:tblBorders>
        <w:tblLook w:val="04A0" w:firstRow="1" w:lastRow="0" w:firstColumn="1" w:lastColumn="0" w:noHBand="0" w:noVBand="1"/>
      </w:tblPr>
      <w:tblGrid>
        <w:gridCol w:w="719"/>
        <w:gridCol w:w="3087"/>
      </w:tblGrid>
      <w:tr w:rsidR="00F117B9" w:rsidRPr="00EE7169" w14:paraId="211B1DD8" w14:textId="77777777" w:rsidTr="00585786">
        <w:trPr>
          <w:trHeight w:val="270"/>
          <w:jc w:val="center"/>
        </w:trPr>
        <w:tc>
          <w:tcPr>
            <w:tcW w:w="945" w:type="pct"/>
            <w:tcBorders>
              <w:top w:val="single" w:sz="4" w:space="0" w:color="auto"/>
              <w:bottom w:val="single" w:sz="4" w:space="0" w:color="auto"/>
            </w:tcBorders>
            <w:shd w:val="clear" w:color="auto" w:fill="auto"/>
            <w:noWrap/>
            <w:vAlign w:val="center"/>
            <w:hideMark/>
          </w:tcPr>
          <w:p w14:paraId="5D93A909" w14:textId="77777777" w:rsidR="00F117B9" w:rsidRPr="00EE7169" w:rsidRDefault="00F117B9" w:rsidP="001204BE">
            <w:pPr>
              <w:widowControl/>
              <w:jc w:val="left"/>
              <w:rPr>
                <w:rFonts w:ascii="Garamond" w:hAnsi="Garamond"/>
                <w:color w:val="000000"/>
                <w:kern w:val="0"/>
                <w:sz w:val="22"/>
              </w:rPr>
            </w:pPr>
            <w:r w:rsidRPr="00EE7169">
              <w:rPr>
                <w:rFonts w:ascii="Garamond" w:hAnsi="Garamond"/>
                <w:color w:val="000000"/>
                <w:kern w:val="0"/>
                <w:sz w:val="22"/>
              </w:rPr>
              <w:t>Year</w:t>
            </w:r>
          </w:p>
        </w:tc>
        <w:tc>
          <w:tcPr>
            <w:tcW w:w="4055" w:type="pct"/>
            <w:tcBorders>
              <w:top w:val="single" w:sz="4" w:space="0" w:color="auto"/>
              <w:bottom w:val="single" w:sz="4" w:space="0" w:color="auto"/>
            </w:tcBorders>
            <w:shd w:val="clear" w:color="auto" w:fill="auto"/>
            <w:noWrap/>
            <w:vAlign w:val="center"/>
            <w:hideMark/>
          </w:tcPr>
          <w:p w14:paraId="04C8A97F" w14:textId="77777777" w:rsidR="00F117B9" w:rsidRPr="00EE7169" w:rsidRDefault="00F117B9" w:rsidP="00585786">
            <w:pPr>
              <w:widowControl/>
              <w:jc w:val="left"/>
              <w:rPr>
                <w:rFonts w:ascii="Garamond" w:hAnsi="Garamond"/>
                <w:color w:val="000000"/>
                <w:kern w:val="0"/>
                <w:sz w:val="22"/>
              </w:rPr>
            </w:pPr>
            <w:r w:rsidRPr="00EE7169">
              <w:rPr>
                <w:rFonts w:ascii="Garamond" w:hAnsi="Garamond"/>
                <w:color w:val="000000"/>
                <w:kern w:val="0"/>
                <w:sz w:val="22"/>
              </w:rPr>
              <w:t xml:space="preserve">Number of </w:t>
            </w:r>
            <w:r w:rsidR="00585786" w:rsidRPr="00EE7169">
              <w:rPr>
                <w:rFonts w:ascii="Garamond" w:hAnsi="Garamond"/>
                <w:color w:val="000000"/>
                <w:kern w:val="0"/>
                <w:sz w:val="22"/>
              </w:rPr>
              <w:t xml:space="preserve">decentralized </w:t>
            </w:r>
            <w:r w:rsidRPr="00EE7169">
              <w:rPr>
                <w:rFonts w:ascii="Garamond" w:hAnsi="Garamond"/>
                <w:color w:val="000000"/>
                <w:kern w:val="0"/>
                <w:sz w:val="22"/>
              </w:rPr>
              <w:t>firms</w:t>
            </w:r>
            <w:r w:rsidR="00585786" w:rsidRPr="00EE7169">
              <w:rPr>
                <w:rFonts w:ascii="Garamond" w:hAnsi="Garamond"/>
                <w:color w:val="000000"/>
                <w:kern w:val="0"/>
                <w:sz w:val="22"/>
              </w:rPr>
              <w:t xml:space="preserve"> </w:t>
            </w:r>
          </w:p>
        </w:tc>
      </w:tr>
      <w:tr w:rsidR="00436D5F" w:rsidRPr="00EE7169" w14:paraId="708EEF29" w14:textId="77777777" w:rsidTr="00585786">
        <w:trPr>
          <w:trHeight w:val="270"/>
          <w:jc w:val="center"/>
        </w:trPr>
        <w:tc>
          <w:tcPr>
            <w:tcW w:w="945" w:type="pct"/>
            <w:tcBorders>
              <w:top w:val="single" w:sz="4" w:space="0" w:color="auto"/>
            </w:tcBorders>
            <w:shd w:val="clear" w:color="auto" w:fill="auto"/>
            <w:noWrap/>
            <w:vAlign w:val="center"/>
            <w:hideMark/>
          </w:tcPr>
          <w:p w14:paraId="28549D7E"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1999</w:t>
            </w:r>
          </w:p>
        </w:tc>
        <w:tc>
          <w:tcPr>
            <w:tcW w:w="4055" w:type="pct"/>
            <w:tcBorders>
              <w:top w:val="single" w:sz="4" w:space="0" w:color="auto"/>
            </w:tcBorders>
            <w:shd w:val="clear" w:color="auto" w:fill="auto"/>
            <w:noWrap/>
            <w:vAlign w:val="center"/>
            <w:hideMark/>
          </w:tcPr>
          <w:p w14:paraId="512AC330"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168</w:t>
            </w:r>
          </w:p>
        </w:tc>
      </w:tr>
      <w:tr w:rsidR="00436D5F" w:rsidRPr="00EE7169" w14:paraId="358FC19B" w14:textId="77777777" w:rsidTr="00585786">
        <w:trPr>
          <w:trHeight w:val="285"/>
          <w:jc w:val="center"/>
        </w:trPr>
        <w:tc>
          <w:tcPr>
            <w:tcW w:w="945" w:type="pct"/>
            <w:shd w:val="clear" w:color="auto" w:fill="auto"/>
            <w:noWrap/>
            <w:vAlign w:val="center"/>
            <w:hideMark/>
          </w:tcPr>
          <w:p w14:paraId="3679F939"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2000</w:t>
            </w:r>
          </w:p>
        </w:tc>
        <w:tc>
          <w:tcPr>
            <w:tcW w:w="4055" w:type="pct"/>
            <w:shd w:val="clear" w:color="auto" w:fill="auto"/>
            <w:noWrap/>
            <w:vAlign w:val="center"/>
            <w:hideMark/>
          </w:tcPr>
          <w:p w14:paraId="005AC6F8"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161</w:t>
            </w:r>
          </w:p>
        </w:tc>
      </w:tr>
      <w:tr w:rsidR="00436D5F" w:rsidRPr="00EE7169" w14:paraId="25DE81A8" w14:textId="77777777" w:rsidTr="00585786">
        <w:trPr>
          <w:trHeight w:val="285"/>
          <w:jc w:val="center"/>
        </w:trPr>
        <w:tc>
          <w:tcPr>
            <w:tcW w:w="945" w:type="pct"/>
            <w:shd w:val="clear" w:color="auto" w:fill="auto"/>
            <w:noWrap/>
            <w:vAlign w:val="center"/>
            <w:hideMark/>
          </w:tcPr>
          <w:p w14:paraId="670322E9"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2001</w:t>
            </w:r>
          </w:p>
        </w:tc>
        <w:tc>
          <w:tcPr>
            <w:tcW w:w="4055" w:type="pct"/>
            <w:shd w:val="clear" w:color="auto" w:fill="auto"/>
            <w:noWrap/>
            <w:vAlign w:val="center"/>
            <w:hideMark/>
          </w:tcPr>
          <w:p w14:paraId="7E5F376E"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162</w:t>
            </w:r>
          </w:p>
        </w:tc>
      </w:tr>
      <w:tr w:rsidR="00436D5F" w:rsidRPr="00EE7169" w14:paraId="4C3EA5B3" w14:textId="77777777" w:rsidTr="00585786">
        <w:trPr>
          <w:trHeight w:val="285"/>
          <w:jc w:val="center"/>
        </w:trPr>
        <w:tc>
          <w:tcPr>
            <w:tcW w:w="945" w:type="pct"/>
            <w:shd w:val="clear" w:color="auto" w:fill="auto"/>
            <w:noWrap/>
            <w:vAlign w:val="center"/>
            <w:hideMark/>
          </w:tcPr>
          <w:p w14:paraId="6420C5E6"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2002</w:t>
            </w:r>
          </w:p>
        </w:tc>
        <w:tc>
          <w:tcPr>
            <w:tcW w:w="4055" w:type="pct"/>
            <w:shd w:val="clear" w:color="auto" w:fill="auto"/>
            <w:noWrap/>
            <w:vAlign w:val="center"/>
            <w:hideMark/>
          </w:tcPr>
          <w:p w14:paraId="5854E76A"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97</w:t>
            </w:r>
          </w:p>
        </w:tc>
      </w:tr>
      <w:tr w:rsidR="00436D5F" w:rsidRPr="00EE7169" w14:paraId="17F023E1" w14:textId="77777777" w:rsidTr="00585786">
        <w:trPr>
          <w:trHeight w:val="285"/>
          <w:jc w:val="center"/>
        </w:trPr>
        <w:tc>
          <w:tcPr>
            <w:tcW w:w="945" w:type="pct"/>
            <w:shd w:val="clear" w:color="auto" w:fill="auto"/>
            <w:noWrap/>
            <w:vAlign w:val="center"/>
            <w:hideMark/>
          </w:tcPr>
          <w:p w14:paraId="1A6795DA"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2003</w:t>
            </w:r>
          </w:p>
        </w:tc>
        <w:tc>
          <w:tcPr>
            <w:tcW w:w="4055" w:type="pct"/>
            <w:shd w:val="clear" w:color="auto" w:fill="auto"/>
            <w:noWrap/>
            <w:vAlign w:val="center"/>
            <w:hideMark/>
          </w:tcPr>
          <w:p w14:paraId="12EC8D29"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151</w:t>
            </w:r>
          </w:p>
        </w:tc>
      </w:tr>
      <w:tr w:rsidR="00436D5F" w:rsidRPr="00EE7169" w14:paraId="4F5E2C8A" w14:textId="77777777" w:rsidTr="00585786">
        <w:trPr>
          <w:trHeight w:val="285"/>
          <w:jc w:val="center"/>
        </w:trPr>
        <w:tc>
          <w:tcPr>
            <w:tcW w:w="945" w:type="pct"/>
            <w:shd w:val="clear" w:color="auto" w:fill="auto"/>
            <w:noWrap/>
            <w:vAlign w:val="center"/>
            <w:hideMark/>
          </w:tcPr>
          <w:p w14:paraId="729D3B3D"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2004</w:t>
            </w:r>
          </w:p>
        </w:tc>
        <w:tc>
          <w:tcPr>
            <w:tcW w:w="4055" w:type="pct"/>
            <w:shd w:val="clear" w:color="auto" w:fill="auto"/>
            <w:noWrap/>
            <w:vAlign w:val="center"/>
            <w:hideMark/>
          </w:tcPr>
          <w:p w14:paraId="14F67E76"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222</w:t>
            </w:r>
          </w:p>
        </w:tc>
      </w:tr>
      <w:tr w:rsidR="00436D5F" w:rsidRPr="00EE7169" w14:paraId="0BC250C1" w14:textId="77777777" w:rsidTr="00585786">
        <w:trPr>
          <w:trHeight w:val="285"/>
          <w:jc w:val="center"/>
        </w:trPr>
        <w:tc>
          <w:tcPr>
            <w:tcW w:w="945" w:type="pct"/>
            <w:shd w:val="clear" w:color="auto" w:fill="auto"/>
            <w:noWrap/>
            <w:vAlign w:val="center"/>
            <w:hideMark/>
          </w:tcPr>
          <w:p w14:paraId="6ADF8265"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2005</w:t>
            </w:r>
          </w:p>
        </w:tc>
        <w:tc>
          <w:tcPr>
            <w:tcW w:w="4055" w:type="pct"/>
            <w:shd w:val="clear" w:color="auto" w:fill="auto"/>
            <w:noWrap/>
            <w:vAlign w:val="center"/>
            <w:hideMark/>
          </w:tcPr>
          <w:p w14:paraId="1B9A5BD9"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82</w:t>
            </w:r>
          </w:p>
        </w:tc>
      </w:tr>
      <w:tr w:rsidR="00436D5F" w:rsidRPr="00EE7169" w14:paraId="725AD1B0" w14:textId="77777777" w:rsidTr="00585786">
        <w:trPr>
          <w:trHeight w:val="285"/>
          <w:jc w:val="center"/>
        </w:trPr>
        <w:tc>
          <w:tcPr>
            <w:tcW w:w="945" w:type="pct"/>
            <w:shd w:val="clear" w:color="auto" w:fill="auto"/>
            <w:noWrap/>
            <w:vAlign w:val="center"/>
            <w:hideMark/>
          </w:tcPr>
          <w:p w14:paraId="38A0A314"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2006</w:t>
            </w:r>
          </w:p>
        </w:tc>
        <w:tc>
          <w:tcPr>
            <w:tcW w:w="4055" w:type="pct"/>
            <w:shd w:val="clear" w:color="auto" w:fill="auto"/>
            <w:noWrap/>
            <w:vAlign w:val="center"/>
            <w:hideMark/>
          </w:tcPr>
          <w:p w14:paraId="059CFB21"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40</w:t>
            </w:r>
          </w:p>
        </w:tc>
      </w:tr>
      <w:tr w:rsidR="00436D5F" w:rsidRPr="00EE7169" w14:paraId="4000A24B" w14:textId="77777777" w:rsidTr="00585786">
        <w:trPr>
          <w:trHeight w:val="285"/>
          <w:jc w:val="center"/>
        </w:trPr>
        <w:tc>
          <w:tcPr>
            <w:tcW w:w="945" w:type="pct"/>
            <w:shd w:val="clear" w:color="auto" w:fill="auto"/>
            <w:noWrap/>
            <w:vAlign w:val="center"/>
            <w:hideMark/>
          </w:tcPr>
          <w:p w14:paraId="212B4FB1"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2007</w:t>
            </w:r>
          </w:p>
        </w:tc>
        <w:tc>
          <w:tcPr>
            <w:tcW w:w="4055" w:type="pct"/>
            <w:shd w:val="clear" w:color="auto" w:fill="auto"/>
            <w:noWrap/>
            <w:vAlign w:val="center"/>
            <w:hideMark/>
          </w:tcPr>
          <w:p w14:paraId="159CEB6E" w14:textId="77777777" w:rsidR="00436D5F" w:rsidRPr="00EE7169" w:rsidRDefault="00436D5F" w:rsidP="00585786">
            <w:pPr>
              <w:jc w:val="center"/>
              <w:rPr>
                <w:rFonts w:ascii="Garamond" w:hAnsi="Garamond"/>
                <w:color w:val="000000"/>
                <w:sz w:val="22"/>
              </w:rPr>
            </w:pPr>
            <w:r w:rsidRPr="00EE7169">
              <w:rPr>
                <w:rFonts w:ascii="Garamond" w:hAnsi="Garamond"/>
                <w:color w:val="000000"/>
                <w:sz w:val="22"/>
              </w:rPr>
              <w:t>33</w:t>
            </w:r>
          </w:p>
        </w:tc>
      </w:tr>
      <w:tr w:rsidR="00436D5F" w:rsidRPr="00EE7169" w14:paraId="15C689AC" w14:textId="77777777" w:rsidTr="00585786">
        <w:trPr>
          <w:trHeight w:val="285"/>
          <w:jc w:val="center"/>
        </w:trPr>
        <w:tc>
          <w:tcPr>
            <w:tcW w:w="945" w:type="pct"/>
            <w:shd w:val="clear" w:color="auto" w:fill="auto"/>
            <w:noWrap/>
            <w:vAlign w:val="center"/>
          </w:tcPr>
          <w:p w14:paraId="735EEE16" w14:textId="77777777" w:rsidR="00436D5F" w:rsidRPr="00EE7169" w:rsidRDefault="00436D5F" w:rsidP="001204BE">
            <w:pPr>
              <w:widowControl/>
              <w:jc w:val="right"/>
              <w:rPr>
                <w:rFonts w:ascii="Garamond" w:hAnsi="Garamond"/>
                <w:color w:val="000000"/>
                <w:kern w:val="0"/>
                <w:sz w:val="22"/>
              </w:rPr>
            </w:pPr>
            <w:r w:rsidRPr="00EE7169">
              <w:rPr>
                <w:rFonts w:ascii="Garamond" w:hAnsi="Garamond"/>
                <w:color w:val="000000"/>
                <w:kern w:val="0"/>
                <w:sz w:val="22"/>
              </w:rPr>
              <w:t>Total</w:t>
            </w:r>
          </w:p>
        </w:tc>
        <w:tc>
          <w:tcPr>
            <w:tcW w:w="4055" w:type="pct"/>
            <w:shd w:val="clear" w:color="auto" w:fill="auto"/>
            <w:noWrap/>
            <w:vAlign w:val="center"/>
          </w:tcPr>
          <w:p w14:paraId="1BE0AFD7" w14:textId="77777777" w:rsidR="00436D5F" w:rsidRPr="00EE7169" w:rsidRDefault="00436D5F" w:rsidP="00585786">
            <w:pPr>
              <w:widowControl/>
              <w:jc w:val="center"/>
              <w:rPr>
                <w:rFonts w:ascii="Garamond" w:hAnsi="Garamond"/>
                <w:color w:val="000000"/>
                <w:kern w:val="0"/>
                <w:sz w:val="22"/>
              </w:rPr>
            </w:pPr>
            <w:r w:rsidRPr="00EE7169">
              <w:rPr>
                <w:rFonts w:ascii="Garamond" w:hAnsi="Garamond"/>
                <w:color w:val="000000"/>
                <w:kern w:val="0"/>
                <w:sz w:val="22"/>
              </w:rPr>
              <w:t>1116</w:t>
            </w:r>
          </w:p>
        </w:tc>
      </w:tr>
    </w:tbl>
    <w:p w14:paraId="7C9C58A8" w14:textId="77777777" w:rsidR="00585786" w:rsidRPr="00EE7169" w:rsidRDefault="00585786">
      <w:pPr>
        <w:widowControl/>
        <w:jc w:val="left"/>
        <w:rPr>
          <w:rFonts w:ascii="Garamond" w:eastAsia="STFangsong" w:hAnsi="Garamond"/>
          <w:b/>
          <w:sz w:val="24"/>
          <w:szCs w:val="24"/>
        </w:rPr>
      </w:pPr>
      <w:r w:rsidRPr="00EE7169">
        <w:rPr>
          <w:rFonts w:ascii="Garamond" w:eastAsia="STFangsong" w:hAnsi="Garamond"/>
          <w:b/>
          <w:sz w:val="24"/>
          <w:szCs w:val="24"/>
        </w:rPr>
        <w:br w:type="page"/>
      </w:r>
    </w:p>
    <w:p w14:paraId="0EDF7A99" w14:textId="77777777" w:rsidR="00DD6CA3" w:rsidRPr="00EE7169" w:rsidRDefault="005C10CC" w:rsidP="00585786">
      <w:pPr>
        <w:jc w:val="center"/>
        <w:rPr>
          <w:rFonts w:ascii="Garamond" w:hAnsi="Garamond"/>
          <w:b/>
          <w:color w:val="000000"/>
          <w:kern w:val="0"/>
          <w:sz w:val="22"/>
        </w:rPr>
      </w:pPr>
      <w:r w:rsidRPr="00EE7169">
        <w:rPr>
          <w:rFonts w:ascii="Garamond" w:eastAsia="STFangsong" w:hAnsi="Garamond"/>
          <w:b/>
          <w:sz w:val="24"/>
          <w:szCs w:val="24"/>
        </w:rPr>
        <w:lastRenderedPageBreak/>
        <w:t xml:space="preserve">Appendix Table </w:t>
      </w:r>
      <w:r w:rsidR="0085577B" w:rsidRPr="00EE7169">
        <w:rPr>
          <w:rFonts w:ascii="Garamond" w:eastAsia="STFangsong" w:hAnsi="Garamond"/>
          <w:b/>
          <w:sz w:val="24"/>
          <w:szCs w:val="24"/>
        </w:rPr>
        <w:t>C</w:t>
      </w:r>
      <w:r w:rsidR="00DD6CA3" w:rsidRPr="00EE7169">
        <w:rPr>
          <w:rFonts w:ascii="Garamond" w:eastAsia="STFangsong" w:hAnsi="Garamond"/>
          <w:b/>
          <w:sz w:val="24"/>
          <w:szCs w:val="24"/>
        </w:rPr>
        <w:t>:</w:t>
      </w:r>
      <w:r w:rsidR="00E02DEA" w:rsidRPr="00EE7169">
        <w:rPr>
          <w:rFonts w:ascii="Garamond" w:eastAsia="STFangsong" w:hAnsi="Garamond"/>
          <w:b/>
          <w:sz w:val="24"/>
          <w:szCs w:val="24"/>
        </w:rPr>
        <w:t xml:space="preserve"> </w:t>
      </w:r>
      <w:r w:rsidR="00DD6CA3" w:rsidRPr="00EE7169">
        <w:rPr>
          <w:rFonts w:ascii="Garamond" w:hAnsi="Garamond"/>
          <w:b/>
          <w:color w:val="000000"/>
          <w:kern w:val="0"/>
          <w:sz w:val="22"/>
        </w:rPr>
        <w:t>Ratio of Decentralization in different provinces</w:t>
      </w:r>
    </w:p>
    <w:p w14:paraId="2E6EFBD3" w14:textId="3492D89D" w:rsidR="00630047" w:rsidRPr="00EE7169" w:rsidRDefault="00630047" w:rsidP="00E02DEA">
      <w:pPr>
        <w:rPr>
          <w:rFonts w:ascii="Garamond" w:eastAsia="STFangsong" w:hAnsi="Garamond"/>
          <w:sz w:val="24"/>
          <w:szCs w:val="24"/>
        </w:rPr>
      </w:pPr>
      <w:r w:rsidRPr="00EE7169">
        <w:rPr>
          <w:rFonts w:ascii="Garamond" w:hAnsi="Garamond"/>
          <w:color w:val="000000"/>
          <w:kern w:val="0"/>
          <w:sz w:val="22"/>
        </w:rPr>
        <w:t>This table reports the proportion of SOEs that were decentralized during 1999-2007 in each province.</w:t>
      </w:r>
      <w:r w:rsidR="0043250F" w:rsidRPr="00EE7169">
        <w:rPr>
          <w:rFonts w:ascii="Garamond" w:hAnsi="Garamond"/>
          <w:color w:val="000000"/>
          <w:kern w:val="0"/>
          <w:sz w:val="22"/>
        </w:rPr>
        <w:t xml:space="preserve"> A</w:t>
      </w:r>
      <w:r w:rsidR="005904DD">
        <w:rPr>
          <w:rFonts w:ascii="Garamond" w:hAnsi="Garamond" w:hint="eastAsia"/>
          <w:color w:val="000000"/>
          <w:kern w:val="0"/>
          <w:sz w:val="22"/>
        </w:rPr>
        <w:t>n</w:t>
      </w:r>
      <w:r w:rsidR="0043250F" w:rsidRPr="00EE7169">
        <w:rPr>
          <w:rFonts w:ascii="Garamond" w:hAnsi="Garamond"/>
          <w:color w:val="000000"/>
          <w:kern w:val="0"/>
          <w:sz w:val="22"/>
        </w:rPr>
        <w:t xml:space="preserve"> SOE is defined as </w:t>
      </w:r>
      <w:r w:rsidR="0043250F" w:rsidRPr="00EE7169">
        <w:rPr>
          <w:rFonts w:ascii="Garamond" w:hAnsi="Garamond"/>
          <w:i/>
          <w:color w:val="000000"/>
          <w:kern w:val="0"/>
          <w:sz w:val="22"/>
        </w:rPr>
        <w:t>decentralized</w:t>
      </w:r>
      <w:r w:rsidR="0043250F" w:rsidRPr="00EE7169">
        <w:rPr>
          <w:rFonts w:ascii="Garamond" w:hAnsi="Garamond"/>
          <w:color w:val="000000"/>
          <w:kern w:val="0"/>
          <w:sz w:val="22"/>
        </w:rPr>
        <w:t xml:space="preserve"> if its affiliation-level is changed from a higher level government to a lower level government.</w:t>
      </w:r>
    </w:p>
    <w:tbl>
      <w:tblPr>
        <w:tblW w:w="3569" w:type="dxa"/>
        <w:jc w:val="center"/>
        <w:tblBorders>
          <w:top w:val="single" w:sz="4" w:space="0" w:color="auto"/>
          <w:bottom w:val="single" w:sz="4" w:space="0" w:color="auto"/>
        </w:tblBorders>
        <w:tblLook w:val="04A0" w:firstRow="1" w:lastRow="0" w:firstColumn="1" w:lastColumn="0" w:noHBand="0" w:noVBand="1"/>
      </w:tblPr>
      <w:tblGrid>
        <w:gridCol w:w="1615"/>
        <w:gridCol w:w="1954"/>
      </w:tblGrid>
      <w:tr w:rsidR="00DD6CA3" w:rsidRPr="00EE7169" w14:paraId="77795AC3" w14:textId="77777777" w:rsidTr="00585786">
        <w:trPr>
          <w:trHeight w:val="312"/>
          <w:jc w:val="center"/>
        </w:trPr>
        <w:tc>
          <w:tcPr>
            <w:tcW w:w="1615" w:type="dxa"/>
            <w:vMerge w:val="restart"/>
            <w:tcBorders>
              <w:top w:val="single" w:sz="4" w:space="0" w:color="auto"/>
              <w:bottom w:val="single" w:sz="4" w:space="0" w:color="auto"/>
            </w:tcBorders>
            <w:shd w:val="clear" w:color="auto" w:fill="auto"/>
            <w:vAlign w:val="center"/>
            <w:hideMark/>
          </w:tcPr>
          <w:p w14:paraId="72BFA8FD" w14:textId="77777777" w:rsidR="00DD6CA3" w:rsidRPr="00EE7169" w:rsidRDefault="00DD6CA3" w:rsidP="00436D5F">
            <w:pPr>
              <w:widowControl/>
              <w:jc w:val="left"/>
              <w:rPr>
                <w:rFonts w:ascii="Garamond" w:hAnsi="Garamond"/>
                <w:color w:val="000000"/>
                <w:kern w:val="0"/>
                <w:sz w:val="22"/>
              </w:rPr>
            </w:pPr>
            <w:r w:rsidRPr="00EE7169">
              <w:rPr>
                <w:rFonts w:ascii="Garamond" w:hAnsi="Garamond"/>
                <w:color w:val="000000"/>
                <w:kern w:val="0"/>
                <w:sz w:val="22"/>
              </w:rPr>
              <w:t>province</w:t>
            </w:r>
          </w:p>
        </w:tc>
        <w:tc>
          <w:tcPr>
            <w:tcW w:w="1954" w:type="dxa"/>
            <w:vMerge w:val="restart"/>
            <w:tcBorders>
              <w:top w:val="single" w:sz="4" w:space="0" w:color="auto"/>
              <w:bottom w:val="single" w:sz="4" w:space="0" w:color="auto"/>
            </w:tcBorders>
            <w:shd w:val="clear" w:color="auto" w:fill="auto"/>
            <w:vAlign w:val="center"/>
            <w:hideMark/>
          </w:tcPr>
          <w:p w14:paraId="3DC2DBDC" w14:textId="77777777" w:rsidR="00DD6CA3" w:rsidRPr="00EE7169" w:rsidRDefault="00DD6CA3" w:rsidP="00436D5F">
            <w:pPr>
              <w:widowControl/>
              <w:jc w:val="center"/>
              <w:rPr>
                <w:rFonts w:ascii="Garamond" w:hAnsi="Garamond"/>
                <w:color w:val="000000"/>
                <w:kern w:val="0"/>
                <w:sz w:val="22"/>
              </w:rPr>
            </w:pPr>
            <w:r w:rsidRPr="00EE7169">
              <w:rPr>
                <w:rFonts w:ascii="Garamond" w:hAnsi="Garamond"/>
                <w:color w:val="000000"/>
                <w:kern w:val="0"/>
                <w:sz w:val="22"/>
              </w:rPr>
              <w:t>Ratio of Decentralization</w:t>
            </w:r>
          </w:p>
        </w:tc>
      </w:tr>
      <w:tr w:rsidR="00DD6CA3" w:rsidRPr="00EE7169" w14:paraId="5C0A26ED" w14:textId="77777777" w:rsidTr="00585786">
        <w:trPr>
          <w:trHeight w:val="312"/>
          <w:jc w:val="center"/>
        </w:trPr>
        <w:tc>
          <w:tcPr>
            <w:tcW w:w="1615" w:type="dxa"/>
            <w:vMerge/>
            <w:tcBorders>
              <w:top w:val="nil"/>
              <w:bottom w:val="single" w:sz="4" w:space="0" w:color="auto"/>
            </w:tcBorders>
            <w:vAlign w:val="center"/>
            <w:hideMark/>
          </w:tcPr>
          <w:p w14:paraId="059BF4DD" w14:textId="77777777" w:rsidR="00DD6CA3" w:rsidRPr="00EE7169" w:rsidRDefault="00DD6CA3" w:rsidP="00436D5F">
            <w:pPr>
              <w:widowControl/>
              <w:jc w:val="left"/>
              <w:rPr>
                <w:rFonts w:ascii="Garamond" w:hAnsi="Garamond"/>
                <w:color w:val="000000"/>
                <w:kern w:val="0"/>
                <w:sz w:val="22"/>
              </w:rPr>
            </w:pPr>
          </w:p>
        </w:tc>
        <w:tc>
          <w:tcPr>
            <w:tcW w:w="1954" w:type="dxa"/>
            <w:vMerge/>
            <w:tcBorders>
              <w:top w:val="nil"/>
              <w:bottom w:val="single" w:sz="4" w:space="0" w:color="auto"/>
            </w:tcBorders>
            <w:vAlign w:val="center"/>
            <w:hideMark/>
          </w:tcPr>
          <w:p w14:paraId="4B0D65E0" w14:textId="77777777" w:rsidR="00DD6CA3" w:rsidRPr="00EE7169" w:rsidRDefault="00DD6CA3" w:rsidP="00436D5F">
            <w:pPr>
              <w:widowControl/>
              <w:jc w:val="center"/>
              <w:rPr>
                <w:rFonts w:ascii="Garamond" w:hAnsi="Garamond"/>
                <w:color w:val="000000"/>
                <w:kern w:val="0"/>
                <w:sz w:val="22"/>
              </w:rPr>
            </w:pPr>
          </w:p>
        </w:tc>
      </w:tr>
      <w:tr w:rsidR="00436D5F" w:rsidRPr="00EE7169" w14:paraId="35608DAC" w14:textId="77777777" w:rsidTr="00585786">
        <w:trPr>
          <w:trHeight w:val="285"/>
          <w:jc w:val="center"/>
        </w:trPr>
        <w:tc>
          <w:tcPr>
            <w:tcW w:w="1615" w:type="dxa"/>
            <w:tcBorders>
              <w:top w:val="single" w:sz="4" w:space="0" w:color="auto"/>
            </w:tcBorders>
            <w:shd w:val="clear" w:color="auto" w:fill="auto"/>
            <w:vAlign w:val="center"/>
            <w:hideMark/>
          </w:tcPr>
          <w:p w14:paraId="0C84492A"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Beijing</w:t>
            </w:r>
          </w:p>
        </w:tc>
        <w:tc>
          <w:tcPr>
            <w:tcW w:w="1954" w:type="dxa"/>
            <w:tcBorders>
              <w:top w:val="single" w:sz="4" w:space="0" w:color="auto"/>
            </w:tcBorders>
            <w:shd w:val="clear" w:color="auto" w:fill="auto"/>
            <w:noWrap/>
            <w:vAlign w:val="center"/>
            <w:hideMark/>
          </w:tcPr>
          <w:p w14:paraId="49F7756C"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5.4%</w:t>
            </w:r>
          </w:p>
        </w:tc>
      </w:tr>
      <w:tr w:rsidR="00436D5F" w:rsidRPr="00EE7169" w14:paraId="1CE6CFB5" w14:textId="77777777" w:rsidTr="00585786">
        <w:trPr>
          <w:trHeight w:val="285"/>
          <w:jc w:val="center"/>
        </w:trPr>
        <w:tc>
          <w:tcPr>
            <w:tcW w:w="1615" w:type="dxa"/>
            <w:shd w:val="clear" w:color="auto" w:fill="auto"/>
            <w:vAlign w:val="center"/>
            <w:hideMark/>
          </w:tcPr>
          <w:p w14:paraId="5427C65E"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Tianjin</w:t>
            </w:r>
          </w:p>
        </w:tc>
        <w:tc>
          <w:tcPr>
            <w:tcW w:w="1954" w:type="dxa"/>
            <w:shd w:val="clear" w:color="auto" w:fill="auto"/>
            <w:noWrap/>
            <w:vAlign w:val="center"/>
            <w:hideMark/>
          </w:tcPr>
          <w:p w14:paraId="14F1D78C"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5.9%</w:t>
            </w:r>
          </w:p>
        </w:tc>
      </w:tr>
      <w:tr w:rsidR="00436D5F" w:rsidRPr="00EE7169" w14:paraId="4632FB84" w14:textId="77777777" w:rsidTr="00585786">
        <w:trPr>
          <w:trHeight w:val="285"/>
          <w:jc w:val="center"/>
        </w:trPr>
        <w:tc>
          <w:tcPr>
            <w:tcW w:w="1615" w:type="dxa"/>
            <w:shd w:val="clear" w:color="auto" w:fill="auto"/>
            <w:vAlign w:val="center"/>
            <w:hideMark/>
          </w:tcPr>
          <w:p w14:paraId="5DBB0EEB"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Hebei</w:t>
            </w:r>
          </w:p>
        </w:tc>
        <w:tc>
          <w:tcPr>
            <w:tcW w:w="1954" w:type="dxa"/>
            <w:shd w:val="clear" w:color="auto" w:fill="auto"/>
            <w:noWrap/>
            <w:vAlign w:val="center"/>
            <w:hideMark/>
          </w:tcPr>
          <w:p w14:paraId="6C38481A"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11.2%</w:t>
            </w:r>
          </w:p>
        </w:tc>
      </w:tr>
      <w:tr w:rsidR="00436D5F" w:rsidRPr="00EE7169" w14:paraId="6FCAC8A9" w14:textId="77777777" w:rsidTr="00585786">
        <w:trPr>
          <w:trHeight w:val="285"/>
          <w:jc w:val="center"/>
        </w:trPr>
        <w:tc>
          <w:tcPr>
            <w:tcW w:w="1615" w:type="dxa"/>
            <w:shd w:val="clear" w:color="auto" w:fill="auto"/>
            <w:vAlign w:val="center"/>
            <w:hideMark/>
          </w:tcPr>
          <w:p w14:paraId="2CE7CA5A"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Shanxi</w:t>
            </w:r>
          </w:p>
        </w:tc>
        <w:tc>
          <w:tcPr>
            <w:tcW w:w="1954" w:type="dxa"/>
            <w:shd w:val="clear" w:color="auto" w:fill="auto"/>
            <w:noWrap/>
            <w:vAlign w:val="center"/>
            <w:hideMark/>
          </w:tcPr>
          <w:p w14:paraId="534A988A"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7.9%</w:t>
            </w:r>
          </w:p>
        </w:tc>
      </w:tr>
      <w:tr w:rsidR="00436D5F" w:rsidRPr="00EE7169" w14:paraId="4FF29ABA" w14:textId="77777777" w:rsidTr="00585786">
        <w:trPr>
          <w:trHeight w:val="285"/>
          <w:jc w:val="center"/>
        </w:trPr>
        <w:tc>
          <w:tcPr>
            <w:tcW w:w="1615" w:type="dxa"/>
            <w:shd w:val="clear" w:color="auto" w:fill="auto"/>
            <w:vAlign w:val="center"/>
            <w:hideMark/>
          </w:tcPr>
          <w:p w14:paraId="5180F620"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Inner Mongolia</w:t>
            </w:r>
          </w:p>
        </w:tc>
        <w:tc>
          <w:tcPr>
            <w:tcW w:w="1954" w:type="dxa"/>
            <w:shd w:val="clear" w:color="auto" w:fill="auto"/>
            <w:noWrap/>
            <w:vAlign w:val="center"/>
            <w:hideMark/>
          </w:tcPr>
          <w:p w14:paraId="5B6F17D8"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13.4%</w:t>
            </w:r>
          </w:p>
        </w:tc>
      </w:tr>
      <w:tr w:rsidR="00436D5F" w:rsidRPr="00EE7169" w14:paraId="4D9FD837" w14:textId="77777777" w:rsidTr="00585786">
        <w:trPr>
          <w:trHeight w:val="285"/>
          <w:jc w:val="center"/>
        </w:trPr>
        <w:tc>
          <w:tcPr>
            <w:tcW w:w="1615" w:type="dxa"/>
            <w:shd w:val="clear" w:color="auto" w:fill="auto"/>
            <w:vAlign w:val="center"/>
            <w:hideMark/>
          </w:tcPr>
          <w:p w14:paraId="2926A292"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Liaoning</w:t>
            </w:r>
          </w:p>
        </w:tc>
        <w:tc>
          <w:tcPr>
            <w:tcW w:w="1954" w:type="dxa"/>
            <w:shd w:val="clear" w:color="auto" w:fill="auto"/>
            <w:noWrap/>
            <w:vAlign w:val="center"/>
            <w:hideMark/>
          </w:tcPr>
          <w:p w14:paraId="4A377C14"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13.6%</w:t>
            </w:r>
          </w:p>
        </w:tc>
      </w:tr>
      <w:tr w:rsidR="00436D5F" w:rsidRPr="00EE7169" w14:paraId="2744EA41" w14:textId="77777777" w:rsidTr="00585786">
        <w:trPr>
          <w:trHeight w:val="285"/>
          <w:jc w:val="center"/>
        </w:trPr>
        <w:tc>
          <w:tcPr>
            <w:tcW w:w="1615" w:type="dxa"/>
            <w:shd w:val="clear" w:color="auto" w:fill="auto"/>
            <w:vAlign w:val="center"/>
            <w:hideMark/>
          </w:tcPr>
          <w:p w14:paraId="0836A4BA"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Jilin</w:t>
            </w:r>
          </w:p>
        </w:tc>
        <w:tc>
          <w:tcPr>
            <w:tcW w:w="1954" w:type="dxa"/>
            <w:shd w:val="clear" w:color="auto" w:fill="auto"/>
            <w:noWrap/>
            <w:vAlign w:val="center"/>
            <w:hideMark/>
          </w:tcPr>
          <w:p w14:paraId="335A38E1"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3.8%</w:t>
            </w:r>
          </w:p>
        </w:tc>
      </w:tr>
      <w:tr w:rsidR="00436D5F" w:rsidRPr="00EE7169" w14:paraId="03AC3D52" w14:textId="77777777" w:rsidTr="00585786">
        <w:trPr>
          <w:trHeight w:val="285"/>
          <w:jc w:val="center"/>
        </w:trPr>
        <w:tc>
          <w:tcPr>
            <w:tcW w:w="1615" w:type="dxa"/>
            <w:shd w:val="clear" w:color="auto" w:fill="auto"/>
            <w:vAlign w:val="center"/>
            <w:hideMark/>
          </w:tcPr>
          <w:p w14:paraId="19DB8347"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Heilongjiang</w:t>
            </w:r>
          </w:p>
        </w:tc>
        <w:tc>
          <w:tcPr>
            <w:tcW w:w="1954" w:type="dxa"/>
            <w:shd w:val="clear" w:color="auto" w:fill="auto"/>
            <w:noWrap/>
            <w:vAlign w:val="center"/>
            <w:hideMark/>
          </w:tcPr>
          <w:p w14:paraId="1547EF19"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10.4%</w:t>
            </w:r>
          </w:p>
        </w:tc>
      </w:tr>
      <w:tr w:rsidR="00436D5F" w:rsidRPr="00EE7169" w14:paraId="1CF4D918" w14:textId="77777777" w:rsidTr="00585786">
        <w:trPr>
          <w:trHeight w:val="285"/>
          <w:jc w:val="center"/>
        </w:trPr>
        <w:tc>
          <w:tcPr>
            <w:tcW w:w="1615" w:type="dxa"/>
            <w:shd w:val="clear" w:color="auto" w:fill="auto"/>
            <w:vAlign w:val="center"/>
            <w:hideMark/>
          </w:tcPr>
          <w:p w14:paraId="01B91EDA"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Shanghai</w:t>
            </w:r>
          </w:p>
        </w:tc>
        <w:tc>
          <w:tcPr>
            <w:tcW w:w="1954" w:type="dxa"/>
            <w:shd w:val="clear" w:color="auto" w:fill="auto"/>
            <w:noWrap/>
            <w:vAlign w:val="center"/>
            <w:hideMark/>
          </w:tcPr>
          <w:p w14:paraId="35E13D2E"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6.6%</w:t>
            </w:r>
          </w:p>
        </w:tc>
      </w:tr>
      <w:tr w:rsidR="00436D5F" w:rsidRPr="00EE7169" w14:paraId="72FB6EBA" w14:textId="77777777" w:rsidTr="00585786">
        <w:trPr>
          <w:trHeight w:val="285"/>
          <w:jc w:val="center"/>
        </w:trPr>
        <w:tc>
          <w:tcPr>
            <w:tcW w:w="1615" w:type="dxa"/>
            <w:shd w:val="clear" w:color="auto" w:fill="auto"/>
            <w:vAlign w:val="center"/>
            <w:hideMark/>
          </w:tcPr>
          <w:p w14:paraId="78392DDB"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Jiangsu</w:t>
            </w:r>
          </w:p>
        </w:tc>
        <w:tc>
          <w:tcPr>
            <w:tcW w:w="1954" w:type="dxa"/>
            <w:shd w:val="clear" w:color="auto" w:fill="auto"/>
            <w:noWrap/>
            <w:vAlign w:val="center"/>
            <w:hideMark/>
          </w:tcPr>
          <w:p w14:paraId="44A116FB"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4.1%</w:t>
            </w:r>
          </w:p>
        </w:tc>
      </w:tr>
      <w:tr w:rsidR="00436D5F" w:rsidRPr="00EE7169" w14:paraId="2F70A36D" w14:textId="77777777" w:rsidTr="00585786">
        <w:trPr>
          <w:trHeight w:val="285"/>
          <w:jc w:val="center"/>
        </w:trPr>
        <w:tc>
          <w:tcPr>
            <w:tcW w:w="1615" w:type="dxa"/>
            <w:shd w:val="clear" w:color="auto" w:fill="auto"/>
            <w:vAlign w:val="center"/>
            <w:hideMark/>
          </w:tcPr>
          <w:p w14:paraId="32D3C3B7"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Zhejiang</w:t>
            </w:r>
          </w:p>
        </w:tc>
        <w:tc>
          <w:tcPr>
            <w:tcW w:w="1954" w:type="dxa"/>
            <w:shd w:val="clear" w:color="auto" w:fill="auto"/>
            <w:noWrap/>
            <w:vAlign w:val="center"/>
            <w:hideMark/>
          </w:tcPr>
          <w:p w14:paraId="01081DEC"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6.8%</w:t>
            </w:r>
          </w:p>
        </w:tc>
      </w:tr>
      <w:tr w:rsidR="00436D5F" w:rsidRPr="00EE7169" w14:paraId="75C033BE" w14:textId="77777777" w:rsidTr="00585786">
        <w:trPr>
          <w:trHeight w:val="285"/>
          <w:jc w:val="center"/>
        </w:trPr>
        <w:tc>
          <w:tcPr>
            <w:tcW w:w="1615" w:type="dxa"/>
            <w:shd w:val="clear" w:color="auto" w:fill="auto"/>
            <w:vAlign w:val="center"/>
            <w:hideMark/>
          </w:tcPr>
          <w:p w14:paraId="0F3A6B63"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Anhui</w:t>
            </w:r>
          </w:p>
        </w:tc>
        <w:tc>
          <w:tcPr>
            <w:tcW w:w="1954" w:type="dxa"/>
            <w:shd w:val="clear" w:color="auto" w:fill="auto"/>
            <w:noWrap/>
            <w:vAlign w:val="center"/>
            <w:hideMark/>
          </w:tcPr>
          <w:p w14:paraId="4F366B53"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10.0%</w:t>
            </w:r>
          </w:p>
        </w:tc>
      </w:tr>
      <w:tr w:rsidR="00436D5F" w:rsidRPr="00EE7169" w14:paraId="44B8A29A" w14:textId="77777777" w:rsidTr="00585786">
        <w:trPr>
          <w:trHeight w:val="285"/>
          <w:jc w:val="center"/>
        </w:trPr>
        <w:tc>
          <w:tcPr>
            <w:tcW w:w="1615" w:type="dxa"/>
            <w:shd w:val="clear" w:color="auto" w:fill="auto"/>
            <w:vAlign w:val="center"/>
            <w:hideMark/>
          </w:tcPr>
          <w:p w14:paraId="698DE76C"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Fujian</w:t>
            </w:r>
          </w:p>
        </w:tc>
        <w:tc>
          <w:tcPr>
            <w:tcW w:w="1954" w:type="dxa"/>
            <w:shd w:val="clear" w:color="auto" w:fill="auto"/>
            <w:noWrap/>
            <w:vAlign w:val="center"/>
            <w:hideMark/>
          </w:tcPr>
          <w:p w14:paraId="03F40D8E"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4.2%</w:t>
            </w:r>
          </w:p>
        </w:tc>
      </w:tr>
      <w:tr w:rsidR="00436D5F" w:rsidRPr="00EE7169" w14:paraId="233040AC" w14:textId="77777777" w:rsidTr="00585786">
        <w:trPr>
          <w:trHeight w:val="285"/>
          <w:jc w:val="center"/>
        </w:trPr>
        <w:tc>
          <w:tcPr>
            <w:tcW w:w="1615" w:type="dxa"/>
            <w:shd w:val="clear" w:color="auto" w:fill="auto"/>
            <w:vAlign w:val="center"/>
            <w:hideMark/>
          </w:tcPr>
          <w:p w14:paraId="7A42D99D"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Jiangxi</w:t>
            </w:r>
          </w:p>
        </w:tc>
        <w:tc>
          <w:tcPr>
            <w:tcW w:w="1954" w:type="dxa"/>
            <w:shd w:val="clear" w:color="auto" w:fill="auto"/>
            <w:noWrap/>
            <w:vAlign w:val="center"/>
            <w:hideMark/>
          </w:tcPr>
          <w:p w14:paraId="71A35CE9"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12.7%</w:t>
            </w:r>
          </w:p>
        </w:tc>
      </w:tr>
      <w:tr w:rsidR="00436D5F" w:rsidRPr="00EE7169" w14:paraId="28DD23B6" w14:textId="77777777" w:rsidTr="00585786">
        <w:trPr>
          <w:trHeight w:val="285"/>
          <w:jc w:val="center"/>
        </w:trPr>
        <w:tc>
          <w:tcPr>
            <w:tcW w:w="1615" w:type="dxa"/>
            <w:shd w:val="clear" w:color="auto" w:fill="auto"/>
            <w:vAlign w:val="center"/>
            <w:hideMark/>
          </w:tcPr>
          <w:p w14:paraId="0D2DBADD"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Shandong</w:t>
            </w:r>
          </w:p>
        </w:tc>
        <w:tc>
          <w:tcPr>
            <w:tcW w:w="1954" w:type="dxa"/>
            <w:shd w:val="clear" w:color="auto" w:fill="auto"/>
            <w:noWrap/>
            <w:vAlign w:val="center"/>
            <w:hideMark/>
          </w:tcPr>
          <w:p w14:paraId="2E66627D"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5.4%</w:t>
            </w:r>
          </w:p>
        </w:tc>
      </w:tr>
      <w:tr w:rsidR="00436D5F" w:rsidRPr="00EE7169" w14:paraId="6540E89F" w14:textId="77777777" w:rsidTr="00585786">
        <w:trPr>
          <w:trHeight w:val="285"/>
          <w:jc w:val="center"/>
        </w:trPr>
        <w:tc>
          <w:tcPr>
            <w:tcW w:w="1615" w:type="dxa"/>
            <w:shd w:val="clear" w:color="auto" w:fill="auto"/>
            <w:vAlign w:val="center"/>
            <w:hideMark/>
          </w:tcPr>
          <w:p w14:paraId="46AFCFD7"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Henan</w:t>
            </w:r>
          </w:p>
        </w:tc>
        <w:tc>
          <w:tcPr>
            <w:tcW w:w="1954" w:type="dxa"/>
            <w:shd w:val="clear" w:color="auto" w:fill="auto"/>
            <w:noWrap/>
            <w:vAlign w:val="center"/>
            <w:hideMark/>
          </w:tcPr>
          <w:p w14:paraId="61C532F6"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3.8%</w:t>
            </w:r>
          </w:p>
        </w:tc>
      </w:tr>
      <w:tr w:rsidR="00436D5F" w:rsidRPr="00EE7169" w14:paraId="61950DB5" w14:textId="77777777" w:rsidTr="00585786">
        <w:trPr>
          <w:trHeight w:val="285"/>
          <w:jc w:val="center"/>
        </w:trPr>
        <w:tc>
          <w:tcPr>
            <w:tcW w:w="1615" w:type="dxa"/>
            <w:shd w:val="clear" w:color="auto" w:fill="auto"/>
            <w:vAlign w:val="center"/>
            <w:hideMark/>
          </w:tcPr>
          <w:p w14:paraId="06291320"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Hubei</w:t>
            </w:r>
          </w:p>
        </w:tc>
        <w:tc>
          <w:tcPr>
            <w:tcW w:w="1954" w:type="dxa"/>
            <w:shd w:val="clear" w:color="auto" w:fill="auto"/>
            <w:noWrap/>
            <w:vAlign w:val="center"/>
            <w:hideMark/>
          </w:tcPr>
          <w:p w14:paraId="70CF73A9"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8.4%</w:t>
            </w:r>
          </w:p>
        </w:tc>
      </w:tr>
      <w:tr w:rsidR="00436D5F" w:rsidRPr="00EE7169" w14:paraId="09F9CF9B" w14:textId="77777777" w:rsidTr="00585786">
        <w:trPr>
          <w:trHeight w:val="285"/>
          <w:jc w:val="center"/>
        </w:trPr>
        <w:tc>
          <w:tcPr>
            <w:tcW w:w="1615" w:type="dxa"/>
            <w:shd w:val="clear" w:color="auto" w:fill="auto"/>
            <w:vAlign w:val="center"/>
            <w:hideMark/>
          </w:tcPr>
          <w:p w14:paraId="2E3BC793"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Hunan</w:t>
            </w:r>
          </w:p>
        </w:tc>
        <w:tc>
          <w:tcPr>
            <w:tcW w:w="1954" w:type="dxa"/>
            <w:shd w:val="clear" w:color="auto" w:fill="auto"/>
            <w:noWrap/>
            <w:vAlign w:val="center"/>
            <w:hideMark/>
          </w:tcPr>
          <w:p w14:paraId="46641EAE"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6.7%</w:t>
            </w:r>
          </w:p>
        </w:tc>
      </w:tr>
      <w:tr w:rsidR="00436D5F" w:rsidRPr="00EE7169" w14:paraId="2CF11987" w14:textId="77777777" w:rsidTr="00585786">
        <w:trPr>
          <w:trHeight w:val="285"/>
          <w:jc w:val="center"/>
        </w:trPr>
        <w:tc>
          <w:tcPr>
            <w:tcW w:w="1615" w:type="dxa"/>
            <w:shd w:val="clear" w:color="auto" w:fill="auto"/>
            <w:vAlign w:val="center"/>
            <w:hideMark/>
          </w:tcPr>
          <w:p w14:paraId="4F9E3158"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Guangdong</w:t>
            </w:r>
          </w:p>
        </w:tc>
        <w:tc>
          <w:tcPr>
            <w:tcW w:w="1954" w:type="dxa"/>
            <w:shd w:val="clear" w:color="auto" w:fill="auto"/>
            <w:noWrap/>
            <w:vAlign w:val="center"/>
            <w:hideMark/>
          </w:tcPr>
          <w:p w14:paraId="02D7D41D"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5.5%</w:t>
            </w:r>
          </w:p>
        </w:tc>
      </w:tr>
      <w:tr w:rsidR="00436D5F" w:rsidRPr="00EE7169" w14:paraId="082C25B6" w14:textId="77777777" w:rsidTr="00585786">
        <w:trPr>
          <w:trHeight w:val="285"/>
          <w:jc w:val="center"/>
        </w:trPr>
        <w:tc>
          <w:tcPr>
            <w:tcW w:w="1615" w:type="dxa"/>
            <w:shd w:val="clear" w:color="auto" w:fill="auto"/>
            <w:vAlign w:val="center"/>
            <w:hideMark/>
          </w:tcPr>
          <w:p w14:paraId="386D2457"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Guangxi</w:t>
            </w:r>
          </w:p>
        </w:tc>
        <w:tc>
          <w:tcPr>
            <w:tcW w:w="1954" w:type="dxa"/>
            <w:shd w:val="clear" w:color="auto" w:fill="auto"/>
            <w:noWrap/>
            <w:vAlign w:val="center"/>
            <w:hideMark/>
          </w:tcPr>
          <w:p w14:paraId="4E17F559"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5.9%</w:t>
            </w:r>
          </w:p>
        </w:tc>
      </w:tr>
      <w:tr w:rsidR="00436D5F" w:rsidRPr="00EE7169" w14:paraId="241CA270" w14:textId="77777777" w:rsidTr="00585786">
        <w:trPr>
          <w:trHeight w:val="285"/>
          <w:jc w:val="center"/>
        </w:trPr>
        <w:tc>
          <w:tcPr>
            <w:tcW w:w="1615" w:type="dxa"/>
            <w:shd w:val="clear" w:color="auto" w:fill="auto"/>
            <w:vAlign w:val="center"/>
            <w:hideMark/>
          </w:tcPr>
          <w:p w14:paraId="20AF6A72"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Hainan</w:t>
            </w:r>
          </w:p>
        </w:tc>
        <w:tc>
          <w:tcPr>
            <w:tcW w:w="1954" w:type="dxa"/>
            <w:shd w:val="clear" w:color="auto" w:fill="auto"/>
            <w:noWrap/>
            <w:vAlign w:val="center"/>
            <w:hideMark/>
          </w:tcPr>
          <w:p w14:paraId="04935B27"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3.5%</w:t>
            </w:r>
          </w:p>
        </w:tc>
      </w:tr>
      <w:tr w:rsidR="00436D5F" w:rsidRPr="00EE7169" w14:paraId="6C8CBDFC" w14:textId="77777777" w:rsidTr="00585786">
        <w:trPr>
          <w:trHeight w:val="285"/>
          <w:jc w:val="center"/>
        </w:trPr>
        <w:tc>
          <w:tcPr>
            <w:tcW w:w="1615" w:type="dxa"/>
            <w:shd w:val="clear" w:color="auto" w:fill="auto"/>
            <w:vAlign w:val="center"/>
            <w:hideMark/>
          </w:tcPr>
          <w:p w14:paraId="79907029"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Chongqing</w:t>
            </w:r>
          </w:p>
        </w:tc>
        <w:tc>
          <w:tcPr>
            <w:tcW w:w="1954" w:type="dxa"/>
            <w:shd w:val="clear" w:color="auto" w:fill="auto"/>
            <w:noWrap/>
            <w:vAlign w:val="center"/>
            <w:hideMark/>
          </w:tcPr>
          <w:p w14:paraId="352BCE0E"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9.9%</w:t>
            </w:r>
          </w:p>
        </w:tc>
      </w:tr>
      <w:tr w:rsidR="00436D5F" w:rsidRPr="00EE7169" w14:paraId="47B792B3" w14:textId="77777777" w:rsidTr="00585786">
        <w:trPr>
          <w:trHeight w:val="285"/>
          <w:jc w:val="center"/>
        </w:trPr>
        <w:tc>
          <w:tcPr>
            <w:tcW w:w="1615" w:type="dxa"/>
            <w:shd w:val="clear" w:color="auto" w:fill="auto"/>
            <w:vAlign w:val="center"/>
            <w:hideMark/>
          </w:tcPr>
          <w:p w14:paraId="6E6150A6"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Sichuan</w:t>
            </w:r>
          </w:p>
        </w:tc>
        <w:tc>
          <w:tcPr>
            <w:tcW w:w="1954" w:type="dxa"/>
            <w:shd w:val="clear" w:color="auto" w:fill="auto"/>
            <w:noWrap/>
            <w:vAlign w:val="center"/>
            <w:hideMark/>
          </w:tcPr>
          <w:p w14:paraId="265FE3EC"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12.6%</w:t>
            </w:r>
          </w:p>
        </w:tc>
      </w:tr>
      <w:tr w:rsidR="00436D5F" w:rsidRPr="00EE7169" w14:paraId="396AF10B" w14:textId="77777777" w:rsidTr="00585786">
        <w:trPr>
          <w:trHeight w:val="285"/>
          <w:jc w:val="center"/>
        </w:trPr>
        <w:tc>
          <w:tcPr>
            <w:tcW w:w="1615" w:type="dxa"/>
            <w:shd w:val="clear" w:color="auto" w:fill="auto"/>
            <w:vAlign w:val="center"/>
            <w:hideMark/>
          </w:tcPr>
          <w:p w14:paraId="6883BF2E"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Guizhou</w:t>
            </w:r>
          </w:p>
        </w:tc>
        <w:tc>
          <w:tcPr>
            <w:tcW w:w="1954" w:type="dxa"/>
            <w:shd w:val="clear" w:color="auto" w:fill="auto"/>
            <w:noWrap/>
            <w:vAlign w:val="center"/>
            <w:hideMark/>
          </w:tcPr>
          <w:p w14:paraId="214A45F8"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4.6%</w:t>
            </w:r>
          </w:p>
        </w:tc>
      </w:tr>
      <w:tr w:rsidR="00436D5F" w:rsidRPr="00EE7169" w14:paraId="66D24B24" w14:textId="77777777" w:rsidTr="00585786">
        <w:trPr>
          <w:trHeight w:val="285"/>
          <w:jc w:val="center"/>
        </w:trPr>
        <w:tc>
          <w:tcPr>
            <w:tcW w:w="1615" w:type="dxa"/>
            <w:shd w:val="clear" w:color="auto" w:fill="auto"/>
            <w:vAlign w:val="center"/>
            <w:hideMark/>
          </w:tcPr>
          <w:p w14:paraId="56AE0471"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Yunnan</w:t>
            </w:r>
          </w:p>
        </w:tc>
        <w:tc>
          <w:tcPr>
            <w:tcW w:w="1954" w:type="dxa"/>
            <w:shd w:val="clear" w:color="auto" w:fill="auto"/>
            <w:noWrap/>
            <w:vAlign w:val="center"/>
            <w:hideMark/>
          </w:tcPr>
          <w:p w14:paraId="6CED4DE5"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8.7%</w:t>
            </w:r>
          </w:p>
        </w:tc>
      </w:tr>
      <w:tr w:rsidR="00436D5F" w:rsidRPr="00EE7169" w14:paraId="3EE8237E" w14:textId="77777777" w:rsidTr="00585786">
        <w:trPr>
          <w:trHeight w:val="270"/>
          <w:jc w:val="center"/>
        </w:trPr>
        <w:tc>
          <w:tcPr>
            <w:tcW w:w="1615" w:type="dxa"/>
            <w:shd w:val="clear" w:color="auto" w:fill="auto"/>
            <w:vAlign w:val="center"/>
            <w:hideMark/>
          </w:tcPr>
          <w:p w14:paraId="2C999525"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Tibet</w:t>
            </w:r>
          </w:p>
        </w:tc>
        <w:tc>
          <w:tcPr>
            <w:tcW w:w="1954" w:type="dxa"/>
            <w:shd w:val="clear" w:color="auto" w:fill="auto"/>
            <w:noWrap/>
            <w:vAlign w:val="center"/>
            <w:hideMark/>
          </w:tcPr>
          <w:p w14:paraId="1AFB89F4"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5.8%</w:t>
            </w:r>
          </w:p>
        </w:tc>
      </w:tr>
      <w:tr w:rsidR="00436D5F" w:rsidRPr="00EE7169" w14:paraId="4C7D208F" w14:textId="77777777" w:rsidTr="00585786">
        <w:trPr>
          <w:trHeight w:val="285"/>
          <w:jc w:val="center"/>
        </w:trPr>
        <w:tc>
          <w:tcPr>
            <w:tcW w:w="1615" w:type="dxa"/>
            <w:shd w:val="clear" w:color="auto" w:fill="auto"/>
            <w:vAlign w:val="center"/>
            <w:hideMark/>
          </w:tcPr>
          <w:p w14:paraId="6AA6680C"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Shannxi</w:t>
            </w:r>
          </w:p>
        </w:tc>
        <w:tc>
          <w:tcPr>
            <w:tcW w:w="1954" w:type="dxa"/>
            <w:shd w:val="clear" w:color="auto" w:fill="auto"/>
            <w:noWrap/>
            <w:vAlign w:val="center"/>
            <w:hideMark/>
          </w:tcPr>
          <w:p w14:paraId="0CF274F2"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9.2%</w:t>
            </w:r>
          </w:p>
        </w:tc>
      </w:tr>
      <w:tr w:rsidR="00436D5F" w:rsidRPr="00EE7169" w14:paraId="390282B2" w14:textId="77777777" w:rsidTr="00585786">
        <w:trPr>
          <w:trHeight w:val="285"/>
          <w:jc w:val="center"/>
        </w:trPr>
        <w:tc>
          <w:tcPr>
            <w:tcW w:w="1615" w:type="dxa"/>
            <w:shd w:val="clear" w:color="auto" w:fill="auto"/>
            <w:vAlign w:val="center"/>
            <w:hideMark/>
          </w:tcPr>
          <w:p w14:paraId="7756F413"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Gansu</w:t>
            </w:r>
          </w:p>
        </w:tc>
        <w:tc>
          <w:tcPr>
            <w:tcW w:w="1954" w:type="dxa"/>
            <w:shd w:val="clear" w:color="auto" w:fill="auto"/>
            <w:noWrap/>
            <w:vAlign w:val="center"/>
            <w:hideMark/>
          </w:tcPr>
          <w:p w14:paraId="5DDE6CD8"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9.6%</w:t>
            </w:r>
          </w:p>
        </w:tc>
      </w:tr>
      <w:tr w:rsidR="00436D5F" w:rsidRPr="00EE7169" w14:paraId="68706012" w14:textId="77777777" w:rsidTr="00585786">
        <w:trPr>
          <w:trHeight w:val="285"/>
          <w:jc w:val="center"/>
        </w:trPr>
        <w:tc>
          <w:tcPr>
            <w:tcW w:w="1615" w:type="dxa"/>
            <w:shd w:val="clear" w:color="auto" w:fill="auto"/>
            <w:vAlign w:val="center"/>
            <w:hideMark/>
          </w:tcPr>
          <w:p w14:paraId="305CB38B"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Ningxia</w:t>
            </w:r>
          </w:p>
        </w:tc>
        <w:tc>
          <w:tcPr>
            <w:tcW w:w="1954" w:type="dxa"/>
            <w:shd w:val="clear" w:color="auto" w:fill="auto"/>
            <w:noWrap/>
            <w:vAlign w:val="center"/>
            <w:hideMark/>
          </w:tcPr>
          <w:p w14:paraId="6F609CE8"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3.8%</w:t>
            </w:r>
          </w:p>
        </w:tc>
      </w:tr>
      <w:tr w:rsidR="00436D5F" w:rsidRPr="00EE7169" w14:paraId="6C2BB19D" w14:textId="77777777" w:rsidTr="00585786">
        <w:trPr>
          <w:trHeight w:val="285"/>
          <w:jc w:val="center"/>
        </w:trPr>
        <w:tc>
          <w:tcPr>
            <w:tcW w:w="1615" w:type="dxa"/>
            <w:shd w:val="clear" w:color="auto" w:fill="auto"/>
            <w:vAlign w:val="center"/>
            <w:hideMark/>
          </w:tcPr>
          <w:p w14:paraId="3A22930B"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Qianghai</w:t>
            </w:r>
          </w:p>
        </w:tc>
        <w:tc>
          <w:tcPr>
            <w:tcW w:w="1954" w:type="dxa"/>
            <w:shd w:val="clear" w:color="auto" w:fill="auto"/>
            <w:noWrap/>
            <w:vAlign w:val="center"/>
            <w:hideMark/>
          </w:tcPr>
          <w:p w14:paraId="5B6FD42D"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13.9%</w:t>
            </w:r>
          </w:p>
        </w:tc>
      </w:tr>
      <w:tr w:rsidR="00436D5F" w:rsidRPr="00EE7169" w14:paraId="2FDE6288" w14:textId="77777777" w:rsidTr="00585786">
        <w:trPr>
          <w:trHeight w:val="285"/>
          <w:jc w:val="center"/>
        </w:trPr>
        <w:tc>
          <w:tcPr>
            <w:tcW w:w="1615" w:type="dxa"/>
            <w:shd w:val="clear" w:color="auto" w:fill="auto"/>
            <w:vAlign w:val="center"/>
            <w:hideMark/>
          </w:tcPr>
          <w:p w14:paraId="6349CA1F"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Xinjiang</w:t>
            </w:r>
          </w:p>
        </w:tc>
        <w:tc>
          <w:tcPr>
            <w:tcW w:w="1954" w:type="dxa"/>
            <w:shd w:val="clear" w:color="auto" w:fill="auto"/>
            <w:noWrap/>
            <w:vAlign w:val="center"/>
            <w:hideMark/>
          </w:tcPr>
          <w:p w14:paraId="20DBEB4B"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5.5%</w:t>
            </w:r>
          </w:p>
        </w:tc>
      </w:tr>
      <w:tr w:rsidR="00436D5F" w:rsidRPr="00EE7169" w14:paraId="111AF51D" w14:textId="77777777" w:rsidTr="00585786">
        <w:trPr>
          <w:trHeight w:val="285"/>
          <w:jc w:val="center"/>
        </w:trPr>
        <w:tc>
          <w:tcPr>
            <w:tcW w:w="1615" w:type="dxa"/>
            <w:shd w:val="clear" w:color="auto" w:fill="auto"/>
            <w:vAlign w:val="center"/>
          </w:tcPr>
          <w:p w14:paraId="0176BD6C" w14:textId="77777777" w:rsidR="00436D5F" w:rsidRPr="00EE7169" w:rsidRDefault="00436D5F" w:rsidP="00436D5F">
            <w:pPr>
              <w:widowControl/>
              <w:jc w:val="left"/>
              <w:rPr>
                <w:rFonts w:ascii="Garamond" w:hAnsi="Garamond"/>
                <w:color w:val="000000"/>
                <w:kern w:val="0"/>
                <w:szCs w:val="21"/>
              </w:rPr>
            </w:pPr>
            <w:r w:rsidRPr="00EE7169">
              <w:rPr>
                <w:rFonts w:ascii="Garamond" w:hAnsi="Garamond"/>
                <w:color w:val="000000"/>
                <w:kern w:val="0"/>
                <w:szCs w:val="21"/>
              </w:rPr>
              <w:t>Total</w:t>
            </w:r>
          </w:p>
        </w:tc>
        <w:tc>
          <w:tcPr>
            <w:tcW w:w="1954" w:type="dxa"/>
            <w:shd w:val="clear" w:color="auto" w:fill="auto"/>
            <w:noWrap/>
            <w:vAlign w:val="center"/>
          </w:tcPr>
          <w:p w14:paraId="434D8CAF" w14:textId="77777777" w:rsidR="00436D5F" w:rsidRPr="00EE7169" w:rsidRDefault="00436D5F" w:rsidP="00436D5F">
            <w:pPr>
              <w:jc w:val="center"/>
              <w:rPr>
                <w:rFonts w:ascii="Garamond" w:hAnsi="Garamond"/>
                <w:color w:val="000000"/>
                <w:sz w:val="22"/>
              </w:rPr>
            </w:pPr>
            <w:r w:rsidRPr="00EE7169">
              <w:rPr>
                <w:rFonts w:ascii="Garamond" w:hAnsi="Garamond"/>
                <w:color w:val="000000"/>
                <w:sz w:val="22"/>
              </w:rPr>
              <w:t>7.7%</w:t>
            </w:r>
          </w:p>
        </w:tc>
      </w:tr>
    </w:tbl>
    <w:p w14:paraId="523A08D0" w14:textId="03B6412A" w:rsidR="005020F6" w:rsidRPr="00EE7169" w:rsidRDefault="005020F6" w:rsidP="002D5CF8">
      <w:pPr>
        <w:rPr>
          <w:rFonts w:ascii="Garamond" w:eastAsia="STFangsong" w:hAnsi="Garamond"/>
          <w:sz w:val="24"/>
          <w:szCs w:val="24"/>
        </w:rPr>
      </w:pPr>
    </w:p>
    <w:p w14:paraId="01EEA9AD" w14:textId="77777777" w:rsidR="005020F6" w:rsidRPr="00EE7169" w:rsidRDefault="005020F6">
      <w:pPr>
        <w:widowControl/>
        <w:jc w:val="left"/>
        <w:rPr>
          <w:rFonts w:ascii="Garamond" w:eastAsia="STFangsong" w:hAnsi="Garamond"/>
          <w:sz w:val="24"/>
          <w:szCs w:val="24"/>
        </w:rPr>
      </w:pPr>
      <w:r w:rsidRPr="00EE7169">
        <w:rPr>
          <w:rFonts w:ascii="Garamond" w:eastAsia="STFangsong" w:hAnsi="Garamond"/>
          <w:sz w:val="24"/>
          <w:szCs w:val="24"/>
        </w:rPr>
        <w:br w:type="page"/>
      </w:r>
    </w:p>
    <w:p w14:paraId="52B84EDC" w14:textId="1627423A" w:rsidR="00385613" w:rsidRPr="00EE7169" w:rsidRDefault="005020F6" w:rsidP="005020F6">
      <w:pPr>
        <w:jc w:val="center"/>
        <w:rPr>
          <w:rFonts w:ascii="Garamond" w:eastAsia="STFangsong" w:hAnsi="Garamond"/>
          <w:b/>
          <w:sz w:val="24"/>
          <w:szCs w:val="24"/>
        </w:rPr>
      </w:pPr>
      <w:r w:rsidRPr="00EE7169">
        <w:rPr>
          <w:rFonts w:ascii="Garamond" w:eastAsia="STFangsong" w:hAnsi="Garamond"/>
          <w:b/>
          <w:sz w:val="24"/>
          <w:szCs w:val="24"/>
        </w:rPr>
        <w:lastRenderedPageBreak/>
        <w:t>Appendix D: China’s third-front industries</w:t>
      </w:r>
    </w:p>
    <w:p w14:paraId="61B5E21F" w14:textId="234BC46B" w:rsidR="00DD4CFF" w:rsidRPr="00EE7169" w:rsidRDefault="00DD4CFF" w:rsidP="008D5801">
      <w:pPr>
        <w:spacing w:line="360" w:lineRule="auto"/>
        <w:ind w:firstLineChars="300" w:firstLine="720"/>
        <w:rPr>
          <w:rFonts w:ascii="Garamond" w:hAnsi="Garamond"/>
          <w:sz w:val="24"/>
          <w:szCs w:val="24"/>
        </w:rPr>
      </w:pPr>
      <w:r w:rsidRPr="00EE7169">
        <w:rPr>
          <w:rFonts w:ascii="Garamond" w:hAnsi="Garamond"/>
          <w:sz w:val="24"/>
          <w:szCs w:val="24"/>
        </w:rPr>
        <w:t>China experienced massive relocation of industries from coastal provinces to her inland provinces during 1960s and 1970s, known as Third Front Construction. The move was a response to perceived military threat from USSR and USA. In August 1964, North Vietnam and U.S. navy had a series of confrontations in the waters of Tonkin Gulf. The U.S. Congress passed the Gulf of Tonkin Resolution, which gave President Lyndon B. Johnson the authorization to deploy forces and commence warfare against North Vietnam. Feeling that the war might escalate and China might eventually confront the U.S. military forces, Mao Zedong</w:t>
      </w:r>
      <w:r w:rsidR="000D32A3">
        <w:rPr>
          <w:rFonts w:ascii="Garamond" w:hAnsi="Garamond"/>
          <w:sz w:val="24"/>
          <w:szCs w:val="24"/>
        </w:rPr>
        <w:t>, China’s top leader then,</w:t>
      </w:r>
      <w:r w:rsidRPr="00EE7169">
        <w:rPr>
          <w:rFonts w:ascii="Garamond" w:hAnsi="Garamond"/>
          <w:sz w:val="24"/>
          <w:szCs w:val="24"/>
        </w:rPr>
        <w:t xml:space="preserve"> decided to move China’s heavy industry and other strategically important resources to China’s inland provinces, so that they would survive in a likely air assault. The move was temporarily stopped in 1966 due to the outbreak of Cultural Revolution, and was resumed after March 1969, when China was engaged in military conflict with USSR over Zhenbao </w:t>
      </w:r>
      <w:r w:rsidR="000D32A3">
        <w:rPr>
          <w:rFonts w:ascii="Garamond" w:hAnsi="Garamond"/>
          <w:sz w:val="24"/>
          <w:szCs w:val="24"/>
        </w:rPr>
        <w:t>(also known as</w:t>
      </w:r>
      <w:r w:rsidR="000D32A3" w:rsidRPr="00EE7169">
        <w:rPr>
          <w:rFonts w:ascii="Garamond" w:hAnsi="Garamond"/>
          <w:sz w:val="24"/>
          <w:szCs w:val="24"/>
        </w:rPr>
        <w:t xml:space="preserve"> Damansky</w:t>
      </w:r>
      <w:r w:rsidR="000D32A3">
        <w:rPr>
          <w:rFonts w:ascii="Garamond" w:hAnsi="Garamond"/>
          <w:sz w:val="24"/>
          <w:szCs w:val="24"/>
        </w:rPr>
        <w:t xml:space="preserve">) </w:t>
      </w:r>
      <w:r w:rsidRPr="00EE7169">
        <w:rPr>
          <w:rFonts w:ascii="Garamond" w:hAnsi="Garamond"/>
          <w:sz w:val="24"/>
          <w:szCs w:val="24"/>
        </w:rPr>
        <w:t>Island. With Richard Nixon’s visit to China in 1972, China managed to improve her relations with the west. This led to relief of security pressure and the Third Front Construction came to a halt afterwards. During these two periods, 1964</w:t>
      </w:r>
      <w:r w:rsidR="000D32A3">
        <w:rPr>
          <w:rFonts w:ascii="Garamond" w:hAnsi="Garamond"/>
          <w:sz w:val="24"/>
          <w:szCs w:val="24"/>
        </w:rPr>
        <w:t>-</w:t>
      </w:r>
      <w:r w:rsidRPr="00EE7169">
        <w:rPr>
          <w:rFonts w:ascii="Garamond" w:hAnsi="Garamond"/>
          <w:sz w:val="24"/>
          <w:szCs w:val="24"/>
        </w:rPr>
        <w:t>1966 and 1969</w:t>
      </w:r>
      <w:r w:rsidR="000D32A3">
        <w:rPr>
          <w:rFonts w:ascii="Garamond" w:hAnsi="Garamond"/>
          <w:sz w:val="24"/>
          <w:szCs w:val="24"/>
        </w:rPr>
        <w:t>-</w:t>
      </w:r>
      <w:r w:rsidRPr="00EE7169">
        <w:rPr>
          <w:rFonts w:ascii="Garamond" w:hAnsi="Garamond"/>
          <w:sz w:val="24"/>
          <w:szCs w:val="24"/>
        </w:rPr>
        <w:t xml:space="preserve">1972, China relocated more than 1100 factories and about 4 million workers to mountainous areas in West China (see Figure 3). The result was sudden increase in the number of SOEs in these areas during the two periods (see Figure 4) </w:t>
      </w:r>
    </w:p>
    <w:p w14:paraId="41868C01" w14:textId="0302C9EA" w:rsidR="00AF15CE" w:rsidRDefault="00AF15CE">
      <w:pPr>
        <w:widowControl/>
        <w:jc w:val="left"/>
        <w:rPr>
          <w:rFonts w:ascii="Garamond" w:hAnsi="Garamond"/>
          <w:sz w:val="24"/>
          <w:szCs w:val="24"/>
        </w:rPr>
      </w:pPr>
      <w:r>
        <w:rPr>
          <w:rFonts w:ascii="Garamond" w:hAnsi="Garamond"/>
          <w:sz w:val="24"/>
          <w:szCs w:val="24"/>
        </w:rPr>
        <w:br w:type="page"/>
      </w:r>
    </w:p>
    <w:p w14:paraId="76A4BA85" w14:textId="77777777" w:rsidR="00AF15CE" w:rsidRPr="00EE7169" w:rsidRDefault="00AF15CE" w:rsidP="00AF15CE">
      <w:pPr>
        <w:jc w:val="center"/>
        <w:rPr>
          <w:rFonts w:ascii="Garamond" w:eastAsia="STFangsong" w:hAnsi="Garamond"/>
          <w:b/>
          <w:sz w:val="24"/>
          <w:szCs w:val="24"/>
        </w:rPr>
      </w:pPr>
      <w:r>
        <w:rPr>
          <w:rFonts w:ascii="Garamond" w:eastAsia="STFangsong" w:hAnsi="Garamond"/>
          <w:b/>
          <w:sz w:val="24"/>
          <w:szCs w:val="24"/>
        </w:rPr>
        <w:lastRenderedPageBreak/>
        <w:t xml:space="preserve">Appendix </w:t>
      </w:r>
      <w:r>
        <w:rPr>
          <w:rFonts w:ascii="Garamond" w:eastAsia="STFangsong" w:hAnsi="Garamond" w:hint="eastAsia"/>
          <w:b/>
          <w:sz w:val="24"/>
          <w:szCs w:val="24"/>
        </w:rPr>
        <w:t>E</w:t>
      </w:r>
      <w:r w:rsidRPr="00EE7169">
        <w:rPr>
          <w:rFonts w:ascii="Garamond" w:eastAsia="STFangsong" w:hAnsi="Garamond"/>
          <w:b/>
          <w:sz w:val="24"/>
          <w:szCs w:val="24"/>
        </w:rPr>
        <w:t xml:space="preserve">: </w:t>
      </w:r>
      <w:r w:rsidRPr="000667EC">
        <w:rPr>
          <w:rFonts w:ascii="Garamond" w:eastAsia="STFangsong" w:hAnsi="Garamond"/>
          <w:b/>
          <w:sz w:val="24"/>
          <w:szCs w:val="24"/>
        </w:rPr>
        <w:t>Estimation of TFP</w:t>
      </w:r>
    </w:p>
    <w:p w14:paraId="600E2E5C"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Here we describe in detail the approaches to estimate firm-level TFP. </w:t>
      </w:r>
    </w:p>
    <w:p w14:paraId="1B157151"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We use a standard log-linear Cobb-Douglas production function to estimate firm-level TFP. Specifically, TFP of firm </w:t>
      </w:r>
      <w:r w:rsidRPr="00AF15CE">
        <w:rPr>
          <w:rFonts w:ascii="Garamond" w:hAnsi="Garamond"/>
          <w:i/>
          <w:sz w:val="24"/>
          <w:szCs w:val="24"/>
        </w:rPr>
        <w:t>i</w:t>
      </w:r>
      <w:r w:rsidRPr="00AF15CE">
        <w:rPr>
          <w:rFonts w:ascii="Garamond" w:hAnsi="Garamond"/>
          <w:sz w:val="24"/>
          <w:szCs w:val="24"/>
        </w:rPr>
        <w:t xml:space="preserve"> in year </w:t>
      </w:r>
      <w:r w:rsidRPr="00AF15CE">
        <w:rPr>
          <w:rFonts w:ascii="Garamond" w:hAnsi="Garamond"/>
          <w:i/>
          <w:sz w:val="24"/>
          <w:szCs w:val="24"/>
        </w:rPr>
        <w:t>t</w:t>
      </w:r>
      <w:r w:rsidRPr="00AF15CE">
        <w:rPr>
          <w:rFonts w:ascii="Garamond" w:hAnsi="Garamond"/>
          <w:sz w:val="24"/>
          <w:szCs w:val="24"/>
        </w:rPr>
        <w:t xml:space="preserve"> is the estimated residual from the regression:</w:t>
      </w:r>
    </w:p>
    <w:p w14:paraId="20A8E780" w14:textId="77777777" w:rsidR="00AF15CE" w:rsidRPr="00AF15CE" w:rsidRDefault="0014351B" w:rsidP="00AF15CE">
      <w:pPr>
        <w:spacing w:line="360" w:lineRule="auto"/>
        <w:ind w:firstLineChars="200" w:firstLine="480"/>
        <w:jc w:val="center"/>
        <w:rPr>
          <w:rFonts w:ascii="Garamond" w:hAnsi="Garamond"/>
          <w:sz w:val="24"/>
          <w:szCs w:val="24"/>
        </w:rPr>
      </w:pP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0</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l</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it</m:t>
            </m:r>
          </m:sub>
        </m:sSub>
      </m:oMath>
      <w:r w:rsidR="00AF15CE" w:rsidRPr="00AF15CE">
        <w:rPr>
          <w:rFonts w:ascii="Garamond" w:hAnsi="Garamond"/>
          <w:sz w:val="24"/>
          <w:szCs w:val="24"/>
        </w:rPr>
        <w:t xml:space="preserve"> </w:t>
      </w:r>
      <w:r w:rsidR="00AF15CE" w:rsidRPr="00AF15CE">
        <w:rPr>
          <w:rFonts w:ascii="Garamond" w:hAnsi="Garamond"/>
          <w:sz w:val="24"/>
          <w:szCs w:val="24"/>
        </w:rPr>
        <w:tab/>
      </w:r>
      <w:r w:rsidR="00AF15CE" w:rsidRPr="00AF15CE">
        <w:rPr>
          <w:rFonts w:ascii="Garamond" w:hAnsi="Garamond"/>
          <w:sz w:val="24"/>
          <w:szCs w:val="24"/>
        </w:rPr>
        <w:tab/>
        <w:t>(A1)</w:t>
      </w:r>
    </w:p>
    <w:p w14:paraId="0AC5E063" w14:textId="77777777" w:rsidR="00AF15CE" w:rsidRPr="00AF15CE" w:rsidRDefault="00AF15CE" w:rsidP="00AF15CE">
      <w:pPr>
        <w:autoSpaceDE w:val="0"/>
        <w:autoSpaceDN w:val="0"/>
        <w:adjustRightInd w:val="0"/>
        <w:spacing w:line="360" w:lineRule="auto"/>
        <w:jc w:val="left"/>
        <w:rPr>
          <w:rFonts w:ascii="Garamond" w:hAnsi="Garamond"/>
          <w:sz w:val="24"/>
          <w:szCs w:val="24"/>
        </w:rPr>
      </w:pPr>
      <w:r w:rsidRPr="00AF15CE">
        <w:rPr>
          <w:rFonts w:ascii="Garamond" w:eastAsia="dcr10" w:hAnsi="Garamond"/>
          <w:kern w:val="0"/>
          <w:sz w:val="24"/>
          <w:szCs w:val="24"/>
        </w:rPr>
        <w:t xml:space="preserve">where </w:t>
      </w:r>
      <m:oMath>
        <m:sSub>
          <m:sSubPr>
            <m:ctrlPr>
              <w:rPr>
                <w:rFonts w:ascii="Cambria Math" w:hAnsi="Cambria Math"/>
                <w:sz w:val="24"/>
                <w:szCs w:val="24"/>
              </w:rPr>
            </m:ctrlPr>
          </m:sSubPr>
          <m:e>
            <m:r>
              <w:rPr>
                <w:rFonts w:ascii="Cambria Math" w:hAnsi="Cambria Math"/>
                <w:sz w:val="24"/>
                <w:szCs w:val="24"/>
              </w:rPr>
              <m:t>y</m:t>
            </m:r>
          </m:e>
          <m:sub>
            <m:r>
              <w:rPr>
                <w:rFonts w:ascii="Cambria Math" w:hAnsi="Cambria Math"/>
                <w:sz w:val="24"/>
                <w:szCs w:val="24"/>
              </w:rPr>
              <m:t>it</m:t>
            </m:r>
          </m:sub>
        </m:sSub>
      </m:oMath>
      <w:r w:rsidRPr="00AF15CE">
        <w:rPr>
          <w:rFonts w:ascii="Garamond" w:eastAsia="cmmi10" w:hAnsi="Garamond"/>
          <w:kern w:val="0"/>
          <w:sz w:val="24"/>
          <w:szCs w:val="24"/>
        </w:rPr>
        <w:t xml:space="preserve"> </w:t>
      </w:r>
      <w:r w:rsidRPr="00AF15CE">
        <w:rPr>
          <w:rFonts w:ascii="Garamond" w:eastAsia="dcr10" w:hAnsi="Garamond"/>
          <w:kern w:val="0"/>
          <w:sz w:val="24"/>
          <w:szCs w:val="24"/>
        </w:rPr>
        <w:t xml:space="preserve">is the logarithm of value-added, and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it</m:t>
            </m:r>
          </m:sub>
        </m:sSub>
      </m:oMath>
      <w:r w:rsidRPr="00AF15CE">
        <w:rPr>
          <w:rFonts w:ascii="Garamond" w:eastAsia="dcr10" w:hAnsi="Garamond"/>
          <w:kern w:val="0"/>
          <w:sz w:val="24"/>
          <w:szCs w:val="24"/>
        </w:rPr>
        <w:t xml:space="preserve"> and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it</m:t>
            </m:r>
          </m:sub>
        </m:sSub>
      </m:oMath>
      <w:r w:rsidRPr="00AF15CE">
        <w:rPr>
          <w:rFonts w:ascii="Garamond" w:eastAsia="cmmi10" w:hAnsi="Garamond"/>
          <w:kern w:val="0"/>
          <w:sz w:val="24"/>
          <w:szCs w:val="24"/>
        </w:rPr>
        <w:t xml:space="preserve"> </w:t>
      </w:r>
      <w:r w:rsidRPr="00AF15CE">
        <w:rPr>
          <w:rFonts w:ascii="Garamond" w:eastAsia="dcr10" w:hAnsi="Garamond"/>
          <w:kern w:val="0"/>
          <w:sz w:val="24"/>
          <w:szCs w:val="24"/>
        </w:rPr>
        <w:t>are the logarithms of capital and labor, respectively. To allow for different factor intensities across industries, we estimate equation (A1) separately for each two-digit industry.</w:t>
      </w:r>
      <w:r w:rsidRPr="00AF15CE">
        <w:rPr>
          <w:rStyle w:val="FootnoteReference"/>
          <w:rFonts w:ascii="Garamond" w:eastAsia="dcr10" w:hAnsi="Garamond"/>
          <w:kern w:val="0"/>
          <w:sz w:val="24"/>
          <w:szCs w:val="24"/>
        </w:rPr>
        <w:footnoteReference w:id="14"/>
      </w:r>
      <w:r w:rsidRPr="00AF15CE">
        <w:rPr>
          <w:rFonts w:ascii="Garamond" w:eastAsia="dcr10" w:hAnsi="Garamond"/>
          <w:kern w:val="0"/>
          <w:sz w:val="24"/>
          <w:szCs w:val="24"/>
        </w:rPr>
        <w:t xml:space="preserve"> Accordingly, TFP can be interpreted as the relative productivity of a plant within its industry. </w:t>
      </w:r>
    </w:p>
    <w:p w14:paraId="643DE2FF"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Real value added is constructed by separately deflating output, net of input. We use the two-digit ex-factory price index from </w:t>
      </w:r>
      <w:r w:rsidRPr="00AF15CE">
        <w:rPr>
          <w:rFonts w:ascii="Garamond" w:hAnsi="Garamond"/>
          <w:i/>
          <w:sz w:val="24"/>
          <w:szCs w:val="24"/>
        </w:rPr>
        <w:t xml:space="preserve">China Urban Living and Price Statistics </w:t>
      </w:r>
      <w:r w:rsidRPr="00AF15CE">
        <w:rPr>
          <w:rFonts w:ascii="Garamond" w:hAnsi="Garamond"/>
          <w:sz w:val="24"/>
          <w:szCs w:val="24"/>
        </w:rPr>
        <w:t xml:space="preserve">to deflate output. </w:t>
      </w:r>
    </w:p>
    <w:p w14:paraId="353A30D8"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Input deflators are calculated using the output deflators and information from the 1997/2002/2007 National Input-Output (IO) table. To obtain the input deflators for each industry, we calculate a weighted average of the output deflators, using as weights the coefficients in the IO table. The 1997 IO table is used to construct the input deflators of 1998-2000, and the 2002 IO table is used to construct the input deflators of 2001-2005, and the 2007 IO table is used to construct the input deflators in 2006-2007. </w:t>
      </w:r>
    </w:p>
    <w:p w14:paraId="1470B101" w14:textId="77777777" w:rsidR="00AF15CE" w:rsidRPr="00AF15CE" w:rsidRDefault="00AF15CE" w:rsidP="00AF15CE">
      <w:pPr>
        <w:autoSpaceDE w:val="0"/>
        <w:autoSpaceDN w:val="0"/>
        <w:adjustRightInd w:val="0"/>
        <w:spacing w:line="360" w:lineRule="auto"/>
        <w:ind w:firstLineChars="200" w:firstLine="480"/>
        <w:jc w:val="left"/>
        <w:rPr>
          <w:rFonts w:ascii="Garamond" w:hAnsi="Garamond"/>
          <w:sz w:val="24"/>
          <w:szCs w:val="24"/>
        </w:rPr>
      </w:pPr>
      <w:r w:rsidRPr="00AF15CE">
        <w:rPr>
          <w:rFonts w:ascii="Garamond" w:hAnsi="Garamond"/>
          <w:sz w:val="24"/>
          <w:szCs w:val="24"/>
        </w:rPr>
        <w:t xml:space="preserve">In the ASIF dataset, firms report total annual employment, but they don’t report the real capital stock. Instead, firms report the value of their fixed capital stock at original purchase prices. As these book values are the sum of nominal values for different years, they are not equal to the real capital stock and not comparable across time and across firms. </w:t>
      </w:r>
    </w:p>
    <w:p w14:paraId="4243215F"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Ideally, we need information on all of a firm's past investments to construct the real capital stock of an observation in the ASIF dataset. This we do not have. Roughly following Brandt et al. (2011), we make a few assumptions and convert the value of their capital stock at original purchase prices into real values by the following procedures: </w:t>
      </w:r>
    </w:p>
    <w:p w14:paraId="24640138"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First, we estimate the nominal value of capital stock for each year between firm’s established year and the first year in which the firm appears in our data set. For simplicity of presentation here, we assume that it is 1998, the first year of our panel. We assume that the growth rate of nominal capital stock of each firm equals to the growth rate of nominal capital stock in the two-digit industry, which is reported by </w:t>
      </w:r>
      <w:r w:rsidRPr="00AF15CE">
        <w:rPr>
          <w:rFonts w:ascii="Garamond" w:hAnsi="Garamond"/>
          <w:i/>
          <w:sz w:val="24"/>
          <w:szCs w:val="24"/>
        </w:rPr>
        <w:t>China Statistics Yearbook</w:t>
      </w:r>
      <w:r w:rsidRPr="00AF15CE">
        <w:rPr>
          <w:rFonts w:ascii="Garamond" w:hAnsi="Garamond"/>
          <w:sz w:val="24"/>
          <w:szCs w:val="24"/>
        </w:rPr>
        <w:t xml:space="preserve">. </w:t>
      </w:r>
      <w:r w:rsidRPr="00AF15CE">
        <w:rPr>
          <w:rStyle w:val="FootnoteReference"/>
          <w:rFonts w:ascii="Garamond" w:hAnsi="Garamond"/>
          <w:sz w:val="24"/>
          <w:szCs w:val="24"/>
        </w:rPr>
        <w:footnoteReference w:id="15"/>
      </w:r>
      <w:r w:rsidRPr="00AF15CE">
        <w:rPr>
          <w:rFonts w:ascii="Garamond" w:hAnsi="Garamond"/>
          <w:sz w:val="24"/>
          <w:szCs w:val="24"/>
        </w:rPr>
        <w:t xml:space="preserve">Then, we can first calculate the nominal capital stock in the </w:t>
      </w:r>
      <w:r w:rsidRPr="00AF15CE">
        <w:rPr>
          <w:rFonts w:ascii="Garamond" w:hAnsi="Garamond"/>
          <w:sz w:val="24"/>
          <w:szCs w:val="24"/>
        </w:rPr>
        <w:lastRenderedPageBreak/>
        <w:t xml:space="preserve">established year from the following equation:  </w:t>
      </w:r>
    </w:p>
    <w:p w14:paraId="2B8F94AA" w14:textId="77777777" w:rsidR="00AF15CE" w:rsidRPr="00AF15CE" w:rsidRDefault="0014351B" w:rsidP="00AF15CE">
      <w:pPr>
        <w:spacing w:line="360" w:lineRule="auto"/>
        <w:ind w:firstLineChars="200" w:firstLine="480"/>
        <w:jc w:val="center"/>
        <w:rPr>
          <w:rFonts w:ascii="Garamond" w:hAnsi="Garamond"/>
          <w:sz w:val="24"/>
          <w:szCs w:val="24"/>
        </w:rPr>
      </w:pPr>
      <m:oMath>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1998</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s</m:t>
            </m:r>
          </m:sub>
        </m:sSub>
        <m:nary>
          <m:naryPr>
            <m:chr m:val="∏"/>
            <m:limLoc m:val="undOvr"/>
            <m:ctrlPr>
              <w:rPr>
                <w:rFonts w:ascii="Cambria Math" w:hAnsi="Cambria Math"/>
                <w:i/>
                <w:sz w:val="24"/>
                <w:szCs w:val="24"/>
              </w:rPr>
            </m:ctrlPr>
          </m:naryPr>
          <m:sub>
            <m:r>
              <w:rPr>
                <w:rFonts w:ascii="Cambria Math" w:hAnsi="Cambria Math"/>
                <w:sz w:val="24"/>
                <w:szCs w:val="24"/>
              </w:rPr>
              <m:t>τ</m:t>
            </m:r>
            <m:r>
              <w:rPr>
                <w:rFonts w:ascii="Cambria Math" w:hAnsi="Cambria Math" w:hint="eastAsia"/>
                <w:sz w:val="24"/>
                <w:szCs w:val="24"/>
              </w:rPr>
              <m:t>=s</m:t>
            </m:r>
          </m:sub>
          <m:sup>
            <m:r>
              <w:rPr>
                <w:rFonts w:ascii="Cambria Math" w:hAnsi="Cambria Math"/>
                <w:sz w:val="24"/>
                <w:szCs w:val="24"/>
              </w:rPr>
              <m:t>1998</m:t>
            </m:r>
          </m:sup>
          <m:e>
            <m:r>
              <w:rPr>
                <w:rFonts w:ascii="Cambria Math" w:hAnsi="Cambria Math"/>
                <w:sz w:val="24"/>
                <w:szCs w:val="24"/>
              </w:rPr>
              <m:t>(1+</m:t>
            </m:r>
            <m:sSub>
              <m:sSubPr>
                <m:ctrlPr>
                  <w:rPr>
                    <w:rFonts w:ascii="Cambria Math" w:hAnsi="Cambria Math"/>
                    <w:i/>
                    <w:sz w:val="24"/>
                    <w:szCs w:val="24"/>
                  </w:rPr>
                </m:ctrlPr>
              </m:sSubPr>
              <m:e>
                <m:r>
                  <w:rPr>
                    <w:rFonts w:ascii="Cambria Math" w:hAnsi="Cambria Math" w:hint="eastAsia"/>
                    <w:sz w:val="24"/>
                    <w:szCs w:val="24"/>
                  </w:rPr>
                  <m:t>r</m:t>
                </m:r>
              </m:e>
              <m:sub>
                <m:r>
                  <w:rPr>
                    <w:rFonts w:ascii="Cambria Math" w:hAnsi="Cambria Math" w:hint="eastAsia"/>
                    <w:sz w:val="24"/>
                    <w:szCs w:val="24"/>
                  </w:rPr>
                  <m:t>τ</m:t>
                </m:r>
              </m:sub>
            </m:sSub>
          </m:e>
        </m:nary>
        <m:r>
          <w:rPr>
            <w:rFonts w:ascii="Cambria Math" w:hAnsi="Cambria Math"/>
            <w:sz w:val="24"/>
            <w:szCs w:val="24"/>
          </w:rPr>
          <m:t>)</m:t>
        </m:r>
      </m:oMath>
      <w:r w:rsidR="00AF15CE" w:rsidRPr="00AF15CE">
        <w:rPr>
          <w:rFonts w:ascii="Garamond" w:hAnsi="Garamond"/>
          <w:sz w:val="24"/>
          <w:szCs w:val="24"/>
        </w:rPr>
        <w:t xml:space="preserve"> (A2)</w:t>
      </w:r>
    </w:p>
    <w:p w14:paraId="3E4716FF"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noProof/>
          <w:sz w:val="24"/>
          <w:szCs w:val="24"/>
        </w:rPr>
        <w:t xml:space="preserve">Where </w:t>
      </w:r>
      <m:oMath>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1998</m:t>
            </m:r>
          </m:sub>
        </m:sSub>
      </m:oMath>
      <w:r w:rsidRPr="00AF15CE">
        <w:rPr>
          <w:rFonts w:ascii="Garamond" w:hAnsi="Garamond"/>
          <w:noProof/>
          <w:sz w:val="24"/>
          <w:szCs w:val="24"/>
        </w:rPr>
        <w:t xml:space="preserve"> is the nominal captial stock in 1998 reported in the ASIF data, </w:t>
      </w:r>
      <w:r w:rsidRPr="00AF15CE">
        <w:rPr>
          <w:rFonts w:ascii="Garamond" w:hAnsi="Garamond"/>
          <w:i/>
          <w:noProof/>
          <w:sz w:val="24"/>
          <w:szCs w:val="24"/>
        </w:rPr>
        <w:t>s</w:t>
      </w:r>
      <w:r w:rsidRPr="00AF15CE">
        <w:rPr>
          <w:rFonts w:ascii="Garamond" w:hAnsi="Garamond"/>
          <w:noProof/>
          <w:sz w:val="24"/>
          <w:szCs w:val="24"/>
        </w:rPr>
        <w:t xml:space="preserve"> indicate firm’s estalished year and </w:t>
      </w:r>
      <m:oMath>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s</m:t>
            </m:r>
          </m:sub>
        </m:sSub>
      </m:oMath>
      <w:r w:rsidRPr="00AF15CE">
        <w:rPr>
          <w:rFonts w:ascii="Garamond" w:hAnsi="Garamond"/>
          <w:noProof/>
          <w:sz w:val="24"/>
          <w:szCs w:val="24"/>
        </w:rPr>
        <w:t xml:space="preserve"> is the nominal captial stock in the firm’s.</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τ</m:t>
            </m:r>
          </m:sub>
        </m:sSub>
      </m:oMath>
      <w:r w:rsidRPr="00AF15CE">
        <w:rPr>
          <w:rFonts w:ascii="Garamond" w:hAnsi="Garamond"/>
          <w:noProof/>
          <w:sz w:val="24"/>
          <w:szCs w:val="24"/>
        </w:rPr>
        <w:t xml:space="preserve"> is </w:t>
      </w:r>
      <w:r w:rsidRPr="00AF15CE">
        <w:rPr>
          <w:rFonts w:ascii="Garamond" w:hAnsi="Garamond"/>
          <w:sz w:val="24"/>
          <w:szCs w:val="24"/>
        </w:rPr>
        <w:t xml:space="preserve">the growth rate of nominal capital stock in the two-digit industry in year t, which is reported by </w:t>
      </w:r>
      <w:r w:rsidRPr="00AF15CE">
        <w:rPr>
          <w:rFonts w:ascii="Garamond" w:hAnsi="Garamond"/>
          <w:i/>
          <w:sz w:val="24"/>
          <w:szCs w:val="24"/>
        </w:rPr>
        <w:t>China Statistics Yearbook</w:t>
      </w:r>
      <w:r w:rsidRPr="00AF15CE">
        <w:rPr>
          <w:rFonts w:ascii="Garamond" w:hAnsi="Garamond"/>
          <w:sz w:val="24"/>
          <w:szCs w:val="24"/>
        </w:rPr>
        <w:t>. From equation (A2), we can calculate the nominal stock in each year between firm’s established year and 1998.</w:t>
      </w:r>
    </w:p>
    <w:p w14:paraId="484A1B4A"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Second, annual nominal investment </w:t>
      </w:r>
      <m:oMath>
        <m:sSub>
          <m:sSubPr>
            <m:ctrlPr>
              <w:rPr>
                <w:rFonts w:ascii="Cambria Math" w:hAnsi="Cambria Math"/>
                <w:sz w:val="24"/>
                <w:szCs w:val="24"/>
              </w:rPr>
            </m:ctrlPr>
          </m:sSubPr>
          <m:e>
            <m:r>
              <w:rPr>
                <w:rFonts w:ascii="Cambria Math" w:hAnsi="Cambria Math"/>
                <w:sz w:val="24"/>
                <w:szCs w:val="24"/>
              </w:rPr>
              <m:t>NI</m:t>
            </m:r>
          </m:e>
          <m:sub>
            <m:r>
              <w:rPr>
                <w:rFonts w:ascii="Cambria Math" w:hAnsi="Cambria Math"/>
                <w:sz w:val="24"/>
                <w:szCs w:val="24"/>
              </w:rPr>
              <m:t>t</m:t>
            </m:r>
          </m:sub>
        </m:sSub>
      </m:oMath>
      <w:r w:rsidRPr="00AF15CE">
        <w:rPr>
          <w:rFonts w:ascii="Garamond" w:hAnsi="Garamond"/>
          <w:sz w:val="24"/>
          <w:szCs w:val="24"/>
        </w:rPr>
        <w:t xml:space="preserve"> is the change in nominal capital stock between years, that is, </w:t>
      </w:r>
      <m:oMath>
        <m:sSub>
          <m:sSubPr>
            <m:ctrlPr>
              <w:rPr>
                <w:rFonts w:ascii="Cambria Math" w:hAnsi="Cambria Math"/>
                <w:sz w:val="24"/>
                <w:szCs w:val="24"/>
              </w:rPr>
            </m:ctrlPr>
          </m:sSubPr>
          <m:e>
            <m:r>
              <w:rPr>
                <w:rFonts w:ascii="Cambria Math" w:hAnsi="Cambria Math"/>
                <w:sz w:val="24"/>
                <w:szCs w:val="24"/>
              </w:rPr>
              <m:t>NI</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t-1</m:t>
            </m:r>
          </m:sub>
        </m:sSub>
      </m:oMath>
      <w:r w:rsidRPr="00AF15CE">
        <w:rPr>
          <w:rFonts w:ascii="Garamond" w:hAnsi="Garamond"/>
          <w:sz w:val="24"/>
          <w:szCs w:val="24"/>
        </w:rPr>
        <w:t>.</w:t>
      </w:r>
    </w:p>
    <w:p w14:paraId="5E05B9E0"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Third, we get the real capital stock for each year between firm’s established year and 1998. We deflate annual nominal investment in each year </w:t>
      </w:r>
      <m:oMath>
        <m:sSub>
          <m:sSubPr>
            <m:ctrlPr>
              <w:rPr>
                <w:rFonts w:ascii="Cambria Math" w:hAnsi="Cambria Math"/>
                <w:sz w:val="24"/>
                <w:szCs w:val="24"/>
              </w:rPr>
            </m:ctrlPr>
          </m:sSubPr>
          <m:e>
            <m:r>
              <w:rPr>
                <w:rFonts w:ascii="Cambria Math" w:hAnsi="Cambria Math"/>
                <w:sz w:val="24"/>
                <w:szCs w:val="24"/>
              </w:rPr>
              <m:t>NI</m:t>
            </m:r>
          </m:e>
          <m:sub>
            <m:r>
              <w:rPr>
                <w:rFonts w:ascii="Cambria Math" w:hAnsi="Cambria Math"/>
                <w:sz w:val="24"/>
                <w:szCs w:val="24"/>
              </w:rPr>
              <m:t>t</m:t>
            </m:r>
          </m:sub>
        </m:sSub>
      </m:oMath>
      <w:r w:rsidRPr="00AF15CE">
        <w:rPr>
          <w:rFonts w:ascii="Garamond" w:hAnsi="Garamond"/>
          <w:sz w:val="24"/>
          <w:szCs w:val="24"/>
        </w:rPr>
        <w:t xml:space="preserve"> into real values </w:t>
      </w:r>
      <m:oMath>
        <m:sSub>
          <m:sSubPr>
            <m:ctrlPr>
              <w:rPr>
                <w:rFonts w:ascii="Cambria Math" w:hAnsi="Cambria Math"/>
                <w:sz w:val="24"/>
                <w:szCs w:val="24"/>
              </w:rPr>
            </m:ctrlPr>
          </m:sSubPr>
          <m:e>
            <m:r>
              <w:rPr>
                <w:rFonts w:ascii="Cambria Math" w:hAnsi="Cambria Math"/>
                <w:sz w:val="24"/>
                <w:szCs w:val="24"/>
              </w:rPr>
              <m:t>RI</m:t>
            </m:r>
          </m:e>
          <m:sub>
            <m:r>
              <w:rPr>
                <w:rFonts w:ascii="Cambria Math" w:hAnsi="Cambria Math"/>
                <w:sz w:val="24"/>
                <w:szCs w:val="24"/>
              </w:rPr>
              <m:t>t</m:t>
            </m:r>
          </m:sub>
        </m:sSub>
      </m:oMath>
      <w:r w:rsidRPr="00AF15CE">
        <w:rPr>
          <w:rFonts w:ascii="Garamond" w:hAnsi="Garamond"/>
          <w:sz w:val="24"/>
          <w:szCs w:val="24"/>
        </w:rPr>
        <w:t xml:space="preserve"> with the investment deflator. </w:t>
      </w:r>
      <w:r w:rsidRPr="00AF15CE">
        <w:rPr>
          <w:rFonts w:ascii="Garamond" w:hAnsi="Garamond"/>
          <w:i/>
          <w:sz w:val="24"/>
          <w:szCs w:val="24"/>
        </w:rPr>
        <w:t xml:space="preserve">China Statistics Yearbook </w:t>
      </w:r>
      <w:r w:rsidRPr="00AF15CE">
        <w:rPr>
          <w:rFonts w:ascii="Garamond" w:hAnsi="Garamond"/>
          <w:sz w:val="24"/>
          <w:szCs w:val="24"/>
        </w:rPr>
        <w:t>reports the investment deflator from 1990. For years 1986-1989, we use the investment deflator constructed by Perkins and Rawski (2008).</w:t>
      </w:r>
    </w:p>
    <w:p w14:paraId="1CB8B7F8"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Fourth, we obtain the real capital stock in 1998</w:t>
      </w:r>
      <m:oMath>
        <m:r>
          <w:rPr>
            <w:rFonts w:ascii="Cambria Math" w:hAnsi="Cambria Math"/>
            <w:sz w:val="24"/>
            <w:szCs w:val="24"/>
          </w:rPr>
          <m:t xml:space="preserve"> </m:t>
        </m:r>
      </m:oMath>
      <w:r w:rsidRPr="00AF15CE">
        <w:rPr>
          <w:rFonts w:ascii="Garamond" w:hAnsi="Garamond"/>
          <w:sz w:val="24"/>
          <w:szCs w:val="24"/>
        </w:rPr>
        <w:t xml:space="preserve">from the perpetual inventory method. Specifically, </w:t>
      </w:r>
    </w:p>
    <w:p w14:paraId="757666A7" w14:textId="77777777" w:rsidR="00AF15CE" w:rsidRPr="00AF15CE" w:rsidRDefault="0014351B" w:rsidP="00AF15CE">
      <w:pPr>
        <w:spacing w:line="360" w:lineRule="auto"/>
        <w:ind w:firstLineChars="200" w:firstLine="480"/>
        <w:jc w:val="center"/>
        <w:rPr>
          <w:rFonts w:ascii="Garamond" w:hAnsi="Garamond"/>
          <w:sz w:val="24"/>
          <w:szCs w:val="24"/>
        </w:rPr>
      </w:pPr>
      <m:oMathPara>
        <m:oMath>
          <m:sSub>
            <m:sSubPr>
              <m:ctrlPr>
                <w:rPr>
                  <w:rFonts w:ascii="Cambria Math" w:hAnsi="Cambria Math"/>
                  <w:sz w:val="24"/>
                  <w:szCs w:val="24"/>
                </w:rPr>
              </m:ctrlPr>
            </m:sSubPr>
            <m:e>
              <m:r>
                <w:rPr>
                  <w:rFonts w:ascii="Cambria Math" w:hAnsi="Cambria Math"/>
                  <w:sz w:val="24"/>
                  <w:szCs w:val="24"/>
                </w:rPr>
                <m:t>RK</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(1-δ)</m:t>
              </m:r>
              <m:r>
                <w:rPr>
                  <w:rFonts w:ascii="Cambria Math" w:hAnsi="Cambria Math" w:hint="eastAsia"/>
                  <w:sz w:val="24"/>
                  <w:szCs w:val="24"/>
                </w:rPr>
                <m:t>RK</m:t>
              </m:r>
            </m:e>
            <m:sub>
              <m:r>
                <w:rPr>
                  <w:rFonts w:ascii="Cambria Math" w:hAnsi="Cambria Math"/>
                  <w:sz w:val="24"/>
                  <w:szCs w:val="24"/>
                </w:rPr>
                <m:t>t-1</m:t>
              </m:r>
            </m:sub>
          </m:sSub>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t</m:t>
              </m:r>
            </m:sub>
          </m:sSub>
        </m:oMath>
      </m:oMathPara>
    </w:p>
    <w:p w14:paraId="5A4D1265" w14:textId="77777777" w:rsidR="00AF15CE" w:rsidRPr="00AF15CE" w:rsidRDefault="00AF15CE" w:rsidP="00AF15CE">
      <w:pPr>
        <w:spacing w:line="360" w:lineRule="auto"/>
        <w:rPr>
          <w:rFonts w:ascii="Garamond" w:hAnsi="Garamond"/>
          <w:sz w:val="24"/>
          <w:szCs w:val="24"/>
        </w:rPr>
      </w:pPr>
      <w:r w:rsidRPr="00AF15CE">
        <w:rPr>
          <w:rFonts w:ascii="Garamond" w:hAnsi="Garamond"/>
          <w:sz w:val="24"/>
          <w:szCs w:val="24"/>
        </w:rPr>
        <w:t xml:space="preserve">Where </w:t>
      </w:r>
      <m:oMath>
        <m:sSub>
          <m:sSubPr>
            <m:ctrlPr>
              <w:rPr>
                <w:rFonts w:ascii="Cambria Math" w:hAnsi="Cambria Math"/>
                <w:sz w:val="24"/>
                <w:szCs w:val="24"/>
              </w:rPr>
            </m:ctrlPr>
          </m:sSubPr>
          <m:e>
            <m:r>
              <w:rPr>
                <w:rFonts w:ascii="Cambria Math" w:hAnsi="Cambria Math"/>
                <w:sz w:val="24"/>
                <w:szCs w:val="24"/>
              </w:rPr>
              <m:t>RK</m:t>
            </m:r>
          </m:e>
          <m:sub>
            <m:r>
              <w:rPr>
                <w:rFonts w:ascii="Cambria Math" w:hAnsi="Cambria Math"/>
                <w:sz w:val="24"/>
                <w:szCs w:val="24"/>
              </w:rPr>
              <m:t>t</m:t>
            </m:r>
          </m:sub>
        </m:sSub>
      </m:oMath>
      <w:r w:rsidRPr="00AF15CE">
        <w:rPr>
          <w:rFonts w:ascii="Garamond" w:hAnsi="Garamond"/>
          <w:sz w:val="24"/>
          <w:szCs w:val="24"/>
        </w:rPr>
        <w:t xml:space="preserve"> is the real capital stock in year t and </w:t>
      </w:r>
      <m:oMath>
        <m:r>
          <w:rPr>
            <w:rFonts w:ascii="Cambria Math" w:hAnsi="Cambria Math"/>
            <w:sz w:val="24"/>
            <w:szCs w:val="24"/>
          </w:rPr>
          <m:t>δ</m:t>
        </m:r>
      </m:oMath>
      <w:r w:rsidRPr="00AF15CE">
        <w:rPr>
          <w:rFonts w:ascii="Garamond" w:hAnsi="Garamond"/>
          <w:sz w:val="24"/>
          <w:szCs w:val="24"/>
        </w:rPr>
        <w:t xml:space="preserve"> is the depreciation rate which is estimated by </w:t>
      </w:r>
      <m:oMath>
        <m:f>
          <m:fPr>
            <m:ctrlPr>
              <w:rPr>
                <w:rFonts w:ascii="Cambria Math" w:hAnsi="Cambria Math"/>
                <w:sz w:val="24"/>
                <w:szCs w:val="24"/>
              </w:rPr>
            </m:ctrlPr>
          </m:fPr>
          <m:num>
            <m:r>
              <m:rPr>
                <m:sty m:val="p"/>
              </m:rPr>
              <w:rPr>
                <w:rFonts w:ascii="Cambria Math" w:hAnsi="Cambria Math"/>
                <w:sz w:val="24"/>
                <w:szCs w:val="24"/>
              </w:rPr>
              <m:t>accumulated depreciation reported in 1998</m:t>
            </m:r>
          </m:num>
          <m:den>
            <m:r>
              <m:rPr>
                <m:sty m:val="p"/>
              </m:rPr>
              <w:rPr>
                <w:rFonts w:ascii="Cambria Math" w:hAnsi="Cambria Math"/>
                <w:sz w:val="24"/>
                <w:szCs w:val="24"/>
              </w:rPr>
              <m:t>1998-s</m:t>
            </m:r>
          </m:den>
        </m:f>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1998</m:t>
            </m:r>
          </m:sub>
        </m:sSub>
      </m:oMath>
      <w:r w:rsidRPr="00AF15CE">
        <w:rPr>
          <w:rFonts w:ascii="Garamond" w:hAnsi="Garamond"/>
          <w:sz w:val="24"/>
          <w:szCs w:val="24"/>
        </w:rPr>
        <w:t xml:space="preserve">, where s is </w:t>
      </w:r>
      <w:r w:rsidRPr="00AF15CE">
        <w:rPr>
          <w:rFonts w:ascii="Garamond" w:hAnsi="Garamond"/>
          <w:noProof/>
          <w:sz w:val="24"/>
          <w:szCs w:val="24"/>
        </w:rPr>
        <w:t>firm’s estalished year.</w:t>
      </w:r>
    </w:p>
    <w:p w14:paraId="59C7A4F3"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Finally, we obtain annual real investment and real capital stock after 1998. For years after 1998, we use the observed change in the firm's nominal capital stock at original purchase prices as our estimate of nominal annual investment, that is, the nominal annual investment </w:t>
      </w:r>
      <m:oMath>
        <m:sSub>
          <m:sSubPr>
            <m:ctrlPr>
              <w:rPr>
                <w:rFonts w:ascii="Cambria Math" w:hAnsi="Cambria Math"/>
                <w:sz w:val="24"/>
                <w:szCs w:val="24"/>
              </w:rPr>
            </m:ctrlPr>
          </m:sSubPr>
          <m:e>
            <m:r>
              <w:rPr>
                <w:rFonts w:ascii="Cambria Math" w:hAnsi="Cambria Math"/>
                <w:sz w:val="24"/>
                <w:szCs w:val="24"/>
              </w:rPr>
              <m:t>NI</m:t>
            </m:r>
          </m:e>
          <m:sub>
            <m:r>
              <w:rPr>
                <w:rFonts w:ascii="Cambria Math" w:hAnsi="Cambria Math"/>
                <w:sz w:val="24"/>
                <w:szCs w:val="24"/>
              </w:rPr>
              <m:t>t</m:t>
            </m:r>
          </m:sub>
        </m:sSub>
        <m:r>
          <w:rPr>
            <w:rFonts w:ascii="Cambria Math" w:hAnsi="Cambria Math"/>
            <w:sz w:val="24"/>
            <w:szCs w:val="24"/>
          </w:rPr>
          <m:t xml:space="preserve"> </m:t>
        </m:r>
      </m:oMath>
      <w:r w:rsidRPr="00AF15CE">
        <w:rPr>
          <w:rFonts w:ascii="Garamond" w:hAnsi="Garamond"/>
          <w:sz w:val="24"/>
          <w:szCs w:val="24"/>
        </w:rPr>
        <w:t xml:space="preserve">is still obtained from </w:t>
      </w:r>
      <m:oMath>
        <m:sSub>
          <m:sSubPr>
            <m:ctrlPr>
              <w:rPr>
                <w:rFonts w:ascii="Cambria Math" w:hAnsi="Cambria Math"/>
                <w:sz w:val="24"/>
                <w:szCs w:val="24"/>
              </w:rPr>
            </m:ctrlPr>
          </m:sSubPr>
          <m:e>
            <m:r>
              <w:rPr>
                <w:rFonts w:ascii="Cambria Math" w:hAnsi="Cambria Math"/>
                <w:sz w:val="24"/>
                <w:szCs w:val="24"/>
              </w:rPr>
              <m:t>NI</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NK</m:t>
            </m:r>
          </m:e>
          <m:sub>
            <m:r>
              <w:rPr>
                <w:rFonts w:ascii="Cambria Math" w:hAnsi="Cambria Math"/>
                <w:sz w:val="24"/>
                <w:szCs w:val="24"/>
              </w:rPr>
              <m:t>t-1</m:t>
            </m:r>
          </m:sub>
        </m:sSub>
      </m:oMath>
      <w:r w:rsidRPr="00AF15CE">
        <w:rPr>
          <w:rFonts w:ascii="Garamond" w:hAnsi="Garamond"/>
          <w:sz w:val="24"/>
          <w:szCs w:val="24"/>
        </w:rPr>
        <w:t xml:space="preserve">. Real fixed investment </w:t>
      </w:r>
      <m:oMath>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t</m:t>
            </m:r>
          </m:sub>
        </m:sSub>
      </m:oMath>
      <w:r w:rsidRPr="00AF15CE">
        <w:rPr>
          <w:rFonts w:ascii="Garamond" w:hAnsi="Garamond"/>
          <w:sz w:val="24"/>
          <w:szCs w:val="24"/>
        </w:rPr>
        <w:t xml:space="preserve"> is obtained by deflating </w:t>
      </w:r>
      <m:oMath>
        <m:sSub>
          <m:sSubPr>
            <m:ctrlPr>
              <w:rPr>
                <w:rFonts w:ascii="Cambria Math" w:hAnsi="Cambria Math"/>
                <w:sz w:val="24"/>
                <w:szCs w:val="24"/>
              </w:rPr>
            </m:ctrlPr>
          </m:sSubPr>
          <m:e>
            <m:r>
              <w:rPr>
                <w:rFonts w:ascii="Cambria Math" w:hAnsi="Cambria Math"/>
                <w:sz w:val="24"/>
                <w:szCs w:val="24"/>
              </w:rPr>
              <m:t>NI</m:t>
            </m:r>
          </m:e>
          <m:sub>
            <m:r>
              <w:rPr>
                <w:rFonts w:ascii="Cambria Math" w:hAnsi="Cambria Math"/>
                <w:sz w:val="24"/>
                <w:szCs w:val="24"/>
              </w:rPr>
              <m:t>t</m:t>
            </m:r>
          </m:sub>
        </m:sSub>
      </m:oMath>
      <w:r w:rsidRPr="00AF15CE">
        <w:rPr>
          <w:rFonts w:ascii="Garamond" w:hAnsi="Garamond"/>
          <w:sz w:val="24"/>
          <w:szCs w:val="24"/>
        </w:rPr>
        <w:t xml:space="preserve"> with the investment deflator reported by </w:t>
      </w:r>
      <w:r w:rsidRPr="00AF15CE">
        <w:rPr>
          <w:rFonts w:ascii="Garamond" w:hAnsi="Garamond"/>
          <w:i/>
          <w:sz w:val="24"/>
          <w:szCs w:val="24"/>
        </w:rPr>
        <w:t xml:space="preserve">China Statistics Yearbook. </w:t>
      </w:r>
      <w:r w:rsidRPr="00AF15CE">
        <w:rPr>
          <w:rFonts w:ascii="Garamond" w:hAnsi="Garamond"/>
          <w:sz w:val="24"/>
          <w:szCs w:val="24"/>
        </w:rPr>
        <w:t xml:space="preserve">The Real capital stock is constructed using the perpetual inventory method, that is, </w:t>
      </w:r>
      <m:oMath>
        <m:r>
          <m:rPr>
            <m:sty m:val="p"/>
          </m:rPr>
          <w:rPr>
            <w:rFonts w:ascii="Cambria Math" w:hAnsi="Cambria Math"/>
            <w:sz w:val="24"/>
            <w:szCs w:val="24"/>
          </w:rPr>
          <w:br/>
        </m:r>
      </m:oMath>
      <m:oMathPara>
        <m:oMath>
          <m:sSub>
            <m:sSubPr>
              <m:ctrlPr>
                <w:rPr>
                  <w:rFonts w:ascii="Cambria Math" w:hAnsi="Cambria Math"/>
                  <w:sz w:val="24"/>
                  <w:szCs w:val="24"/>
                </w:rPr>
              </m:ctrlPr>
            </m:sSubPr>
            <m:e>
              <m:r>
                <w:rPr>
                  <w:rFonts w:ascii="Cambria Math" w:hAnsi="Cambria Math"/>
                  <w:sz w:val="24"/>
                  <w:szCs w:val="24"/>
                </w:rPr>
                <m:t>RK</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RK</m:t>
              </m:r>
            </m:e>
            <m:sub>
              <m:r>
                <w:rPr>
                  <w:rFonts w:ascii="Cambria Math" w:hAnsi="Cambria Math"/>
                  <w:sz w:val="24"/>
                  <w:szCs w:val="24"/>
                </w:rPr>
                <m:t>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Depreciation</m:t>
              </m:r>
            </m:e>
            <m:sub>
              <m:r>
                <w:rPr>
                  <w:rFonts w:ascii="Cambria Math" w:hAnsi="Cambria Math"/>
                  <w:sz w:val="24"/>
                  <w:szCs w:val="24"/>
                </w:rPr>
                <m:t>t</m:t>
              </m:r>
            </m:sub>
          </m:sSub>
          <m: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I</m:t>
              </m:r>
            </m:e>
            <m:sub>
              <m:r>
                <w:rPr>
                  <w:rFonts w:ascii="Cambria Math" w:hAnsi="Cambria Math"/>
                  <w:sz w:val="24"/>
                  <w:szCs w:val="24"/>
                </w:rPr>
                <m:t>t</m:t>
              </m:r>
            </m:sub>
          </m:sSub>
        </m:oMath>
      </m:oMathPara>
    </w:p>
    <w:p w14:paraId="5B0FEC92" w14:textId="77777777" w:rsidR="00AF15CE" w:rsidRPr="00AF15CE" w:rsidRDefault="0014351B" w:rsidP="00AF15CE">
      <w:pPr>
        <w:spacing w:line="360" w:lineRule="auto"/>
        <w:rPr>
          <w:rFonts w:ascii="Garamond" w:hAnsi="Garamond"/>
          <w:sz w:val="24"/>
          <w:szCs w:val="24"/>
        </w:rPr>
      </w:pPr>
      <m:oMath>
        <m:sSub>
          <m:sSubPr>
            <m:ctrlPr>
              <w:rPr>
                <w:rFonts w:ascii="Cambria Math" w:hAnsi="Cambria Math"/>
                <w:i/>
                <w:sz w:val="24"/>
                <w:szCs w:val="24"/>
              </w:rPr>
            </m:ctrlPr>
          </m:sSubPr>
          <m:e>
            <m:r>
              <w:rPr>
                <w:rFonts w:ascii="Cambria Math" w:hAnsi="Cambria Math"/>
                <w:sz w:val="24"/>
                <w:szCs w:val="24"/>
              </w:rPr>
              <m:t>Depreciation</m:t>
            </m:r>
          </m:e>
          <m:sub>
            <m:r>
              <w:rPr>
                <w:rFonts w:ascii="Cambria Math" w:hAnsi="Cambria Math"/>
                <w:sz w:val="24"/>
                <w:szCs w:val="24"/>
              </w:rPr>
              <m:t>t</m:t>
            </m:r>
          </m:sub>
        </m:sSub>
      </m:oMath>
      <w:r w:rsidR="00AF15CE" w:rsidRPr="00AF15CE">
        <w:rPr>
          <w:rFonts w:ascii="Garamond" w:hAnsi="Garamond"/>
          <w:sz w:val="24"/>
          <w:szCs w:val="24"/>
        </w:rPr>
        <w:t xml:space="preserve"> is annual depreciation directly reported in ASIF database and is deflated by investment deflator reported by </w:t>
      </w:r>
      <w:r w:rsidR="00AF15CE" w:rsidRPr="00AF15CE">
        <w:rPr>
          <w:rFonts w:ascii="Garamond" w:hAnsi="Garamond"/>
          <w:i/>
          <w:sz w:val="24"/>
          <w:szCs w:val="24"/>
        </w:rPr>
        <w:t>China Statistics Yearbook</w:t>
      </w:r>
      <w:r w:rsidR="00AF15CE" w:rsidRPr="00AF15CE">
        <w:rPr>
          <w:rFonts w:ascii="Garamond" w:hAnsi="Garamond"/>
          <w:sz w:val="24"/>
          <w:szCs w:val="24"/>
        </w:rPr>
        <w:t xml:space="preserve"> . </w:t>
      </w:r>
    </w:p>
    <w:p w14:paraId="0CF38545"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In our baseline analysis, we estimate equation (A1) by ordinary least squares (OLS). We call this TFP-OLS. While this approach is common in the literature, recent research has argued OLS estimates suffer from two endogeneity issues: simultaneity of input choice and selection biases. These two issues </w:t>
      </w:r>
      <w:r w:rsidRPr="00AF15CE">
        <w:rPr>
          <w:rFonts w:ascii="Garamond" w:hAnsi="Garamond"/>
          <w:sz w:val="24"/>
          <w:szCs w:val="24"/>
        </w:rPr>
        <w:lastRenderedPageBreak/>
        <w:t xml:space="preserve">will generate biased estimates of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oMath>
      <w:r w:rsidRPr="00AF15CE">
        <w:rPr>
          <w:rFonts w:ascii="Garamond" w:hAnsi="Garamond"/>
          <w:sz w:val="24"/>
          <w:szCs w:val="24"/>
        </w:rPr>
        <w:t xml:space="preserve"> and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l</m:t>
            </m:r>
          </m:sub>
        </m:sSub>
      </m:oMath>
      <w:r w:rsidRPr="00AF15CE">
        <w:rPr>
          <w:rFonts w:ascii="Garamond" w:hAnsi="Garamond"/>
          <w:sz w:val="24"/>
          <w:szCs w:val="24"/>
        </w:rPr>
        <w:t xml:space="preserve">, and therefore biased estimation of residual in equation (A1). A variety of techniques have been suggested to address the simultaneity and selection problems. We use the method proposed by Olley and Pakes (1996). We call this TFP-OP. </w:t>
      </w:r>
    </w:p>
    <w:p w14:paraId="754C4E94"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 xml:space="preserve">As a robustness check, we also use a straightforward index number approach, which does not require the estimation of any parameters. In specific, the industry-specific average wage share in output is used to measure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l</m:t>
            </m:r>
          </m:sub>
        </m:sSub>
      </m:oMath>
      <w:r w:rsidRPr="00AF15CE">
        <w:rPr>
          <w:rFonts w:ascii="Garamond" w:hAnsi="Garamond"/>
          <w:sz w:val="24"/>
          <w:szCs w:val="24"/>
        </w:rPr>
        <w:t xml:space="preserve">, and one minus this share is used to measure </w:t>
      </w:r>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m:t>
            </m:r>
          </m:sub>
        </m:sSub>
      </m:oMath>
      <w:r w:rsidRPr="00AF15CE">
        <w:rPr>
          <w:rFonts w:ascii="Garamond" w:hAnsi="Garamond"/>
          <w:sz w:val="24"/>
          <w:szCs w:val="24"/>
        </w:rPr>
        <w:t xml:space="preserve">. The intuition is that a cost-minimizing firm will make sure the relative factor price ratio equals the local elasticity of substitution between inputs of the production technology. Since we do not have good comparable data to compute factor shares based on our survey data, we rely on the estimates of factor shares in two-digit industry level from Bentolila and Saint-Paul (2003). Bloom, Sadun and Van Reenen (2012) use a similar treatment. We call this TFP-IN.  </w:t>
      </w:r>
    </w:p>
    <w:p w14:paraId="0B6F6B8B" w14:textId="77777777" w:rsidR="00AF15CE" w:rsidRPr="00AF15CE" w:rsidRDefault="00AF15CE" w:rsidP="00AF15CE">
      <w:pPr>
        <w:spacing w:line="360" w:lineRule="auto"/>
        <w:ind w:firstLineChars="200" w:firstLine="480"/>
        <w:rPr>
          <w:rFonts w:ascii="Garamond" w:hAnsi="Garamond"/>
          <w:sz w:val="24"/>
          <w:szCs w:val="24"/>
        </w:rPr>
      </w:pPr>
      <w:r w:rsidRPr="00AF15CE">
        <w:rPr>
          <w:rFonts w:ascii="Garamond" w:hAnsi="Garamond"/>
          <w:sz w:val="24"/>
          <w:szCs w:val="24"/>
        </w:rPr>
        <w:t>Overall, these three approaches yield similar qualitative results. The correlations of these productivity measures are quite high: that beween TFP-OLS and TFP-IN is 0.92; between TFP-OLS and TFP-OP, 0.96. Thus it is not surprising that our results in general do not hinge on how we measure productivity.</w:t>
      </w:r>
    </w:p>
    <w:p w14:paraId="4C7D7D00" w14:textId="77777777" w:rsidR="00AF15CE" w:rsidRPr="000667EC" w:rsidRDefault="00AF15CE" w:rsidP="00AF15CE">
      <w:pPr>
        <w:spacing w:line="360" w:lineRule="auto"/>
        <w:rPr>
          <w:rFonts w:ascii="Garamond" w:hAnsi="Garamond"/>
          <w:sz w:val="24"/>
          <w:szCs w:val="24"/>
        </w:rPr>
      </w:pPr>
    </w:p>
    <w:p w14:paraId="1D08D374" w14:textId="77777777" w:rsidR="00DD4CFF" w:rsidRPr="00EE7169" w:rsidRDefault="00DD4CFF" w:rsidP="00DD4CFF">
      <w:pPr>
        <w:spacing w:line="360" w:lineRule="auto"/>
        <w:rPr>
          <w:rFonts w:ascii="Garamond" w:hAnsi="Garamond"/>
          <w:sz w:val="24"/>
          <w:szCs w:val="24"/>
        </w:rPr>
      </w:pPr>
    </w:p>
    <w:sectPr w:rsidR="00DD4CFF" w:rsidRPr="00EE7169" w:rsidSect="000F373C">
      <w:pgSz w:w="12240" w:h="15840"/>
      <w:pgMar w:top="1440" w:right="1440" w:bottom="1440" w:left="1440" w:header="720" w:footer="720"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58D25" w14:textId="77777777" w:rsidR="003864DF" w:rsidRDefault="003864DF" w:rsidP="00EC253E">
      <w:r>
        <w:separator/>
      </w:r>
    </w:p>
  </w:endnote>
  <w:endnote w:type="continuationSeparator" w:id="0">
    <w:p w14:paraId="77CAB92D" w14:textId="77777777" w:rsidR="003864DF" w:rsidRDefault="003864DF" w:rsidP="00EC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de 2000">
    <w:altName w:val="方正舒体"/>
    <w:panose1 w:val="00000000000000000000"/>
    <w:charset w:val="86"/>
    <w:family w:val="auto"/>
    <w:notTrueType/>
    <w:pitch w:val="default"/>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ZShuTi">
    <w:altName w:val="Arial Unicode MS"/>
    <w:charset w:val="86"/>
    <w:family w:val="auto"/>
    <w:pitch w:val="variable"/>
    <w:sig w:usb0="00000003" w:usb1="080E0000" w:usb2="00000010" w:usb3="00000000" w:csb0="00040000" w:csb1="00000000"/>
  </w:font>
  <w:font w:name="KaiTi_GB2312">
    <w:altName w:val="楷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TFangsong">
    <w:altName w:val="Arial Unicode MS"/>
    <w:charset w:val="86"/>
    <w:family w:val="auto"/>
    <w:pitch w:val="variable"/>
    <w:sig w:usb0="00000287" w:usb1="080F0000" w:usb2="00000010" w:usb3="00000000" w:csb0="0004009F" w:csb1="00000000"/>
  </w:font>
  <w:font w:name="dcr10">
    <w:altName w:val="Arial Unicode MS"/>
    <w:panose1 w:val="020B0500000000000000"/>
    <w:charset w:val="00"/>
    <w:family w:val="swiss"/>
    <w:pitch w:val="variable"/>
    <w:sig w:usb0="00000003" w:usb1="00000000" w:usb2="00000000" w:usb3="00000000" w:csb0="00000001" w:csb1="00000000"/>
  </w:font>
  <w:font w:name="cmmi10">
    <w:altName w:val="Arial Unicode MS"/>
    <w:panose1 w:val="020B0500000000000000"/>
    <w:charset w:val="02"/>
    <w:family w:val="swiss"/>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5E7F" w14:textId="77777777" w:rsidR="0018384A" w:rsidRPr="00191DEA" w:rsidRDefault="0018384A" w:rsidP="00191DEA">
    <w:pPr>
      <w:pStyle w:val="Footer"/>
      <w:tabs>
        <w:tab w:val="center" w:pos="4320"/>
        <w:tab w:val="left" w:pos="5105"/>
      </w:tabs>
      <w:rPr>
        <w:rFonts w:ascii="Times New Roman" w:hAnsi="Times New Roman"/>
      </w:rPr>
    </w:pPr>
    <w:r>
      <w:rPr>
        <w:rFonts w:ascii="Times New Roman" w:hAnsi="Times New Roman"/>
      </w:rPr>
      <w:tab/>
    </w:r>
    <w:r>
      <w:rPr>
        <w:rFonts w:ascii="Times New Roman" w:hAnsi="Times New Roman"/>
      </w:rPr>
      <w:tab/>
    </w:r>
    <w:r w:rsidRPr="00191DEA">
      <w:rPr>
        <w:rFonts w:ascii="Times New Roman" w:hAnsi="Times New Roman"/>
      </w:rPr>
      <w:fldChar w:fldCharType="begin"/>
    </w:r>
    <w:r w:rsidRPr="00191DEA">
      <w:rPr>
        <w:rFonts w:ascii="Times New Roman" w:hAnsi="Times New Roman"/>
      </w:rPr>
      <w:instrText>PAGE   \* MERGEFORMAT</w:instrText>
    </w:r>
    <w:r w:rsidRPr="00191DEA">
      <w:rPr>
        <w:rFonts w:ascii="Times New Roman" w:hAnsi="Times New Roman"/>
      </w:rPr>
      <w:fldChar w:fldCharType="separate"/>
    </w:r>
    <w:r w:rsidR="0014351B" w:rsidRPr="0014351B">
      <w:rPr>
        <w:rFonts w:ascii="Times New Roman" w:hAnsi="Times New Roman"/>
        <w:noProof/>
        <w:lang w:val="zh-CN"/>
      </w:rPr>
      <w:t>22</w:t>
    </w:r>
    <w:r w:rsidRPr="00191DEA">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66554" w14:textId="77777777" w:rsidR="003864DF" w:rsidRDefault="003864DF" w:rsidP="00EC253E">
      <w:r>
        <w:separator/>
      </w:r>
    </w:p>
  </w:footnote>
  <w:footnote w:type="continuationSeparator" w:id="0">
    <w:p w14:paraId="37A0E186" w14:textId="77777777" w:rsidR="003864DF" w:rsidRDefault="003864DF" w:rsidP="00EC253E">
      <w:r>
        <w:continuationSeparator/>
      </w:r>
    </w:p>
  </w:footnote>
  <w:footnote w:id="1">
    <w:p w14:paraId="7EEBD845" w14:textId="43C535CE"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We have benefited from useful comments and help of Jens Matthias Arnold, Price Fishback, Sebestian Galiani, Gary Gorton, Hanan Jacoby, Beata S. Javorcik, Mathew Kahn, Gary Libecap, Cheryl Long, Peter Murrell, Mary Shirley, John Wallis, Shang-Jin Wei, Xiaobo Zhang and participants of the 15</w:t>
      </w:r>
      <w:r w:rsidRPr="00972B99">
        <w:rPr>
          <w:rFonts w:ascii="Times New Roman" w:hAnsi="Times New Roman"/>
          <w:sz w:val="20"/>
          <w:szCs w:val="20"/>
          <w:vertAlign w:val="superscript"/>
        </w:rPr>
        <w:t>th</w:t>
      </w:r>
      <w:r w:rsidRPr="00972B99">
        <w:rPr>
          <w:rFonts w:ascii="Times New Roman" w:hAnsi="Times New Roman"/>
          <w:sz w:val="20"/>
          <w:szCs w:val="20"/>
        </w:rPr>
        <w:t xml:space="preserve"> NBER-CCER conference. Financial support from the National Natural Science Foundation of China (#71203004) is gratefully acknowledged. The views expressed here do not necessarily represent those of the World Bank or its member countries. </w:t>
      </w:r>
    </w:p>
  </w:footnote>
  <w:footnote w:id="2">
    <w:p w14:paraId="38D4BBB7" w14:textId="4CF03347"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As of April 2015, Hayek (1945) has been cited more than 12,000 times in Google Scholar, and it is viewed as one of the top 20 articles published in AER in its first 100 years’ history (Arrow et al. 2011).</w:t>
      </w:r>
    </w:p>
  </w:footnote>
  <w:footnote w:id="3">
    <w:p w14:paraId="54321D7E" w14:textId="2F102EAF"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Chinese local government consists of several (from higher to lower) levels as follows: provinc</w:t>
      </w:r>
      <w:r w:rsidRPr="00972B99">
        <w:rPr>
          <w:rFonts w:ascii="Times New Roman" w:hAnsi="Times New Roman" w:hint="eastAsia"/>
          <w:sz w:val="20"/>
          <w:szCs w:val="20"/>
        </w:rPr>
        <w:t>e</w:t>
      </w:r>
      <w:r w:rsidRPr="00972B99">
        <w:rPr>
          <w:rFonts w:ascii="Times New Roman" w:hAnsi="Times New Roman"/>
          <w:sz w:val="20"/>
          <w:szCs w:val="20"/>
        </w:rPr>
        <w:t>, municipal</w:t>
      </w:r>
      <w:r w:rsidRPr="00972B99">
        <w:rPr>
          <w:rFonts w:ascii="Times New Roman" w:hAnsi="Times New Roman" w:hint="eastAsia"/>
          <w:sz w:val="20"/>
          <w:szCs w:val="20"/>
        </w:rPr>
        <w:t>ity</w:t>
      </w:r>
      <w:r w:rsidRPr="00972B99">
        <w:rPr>
          <w:rFonts w:ascii="Times New Roman" w:hAnsi="Times New Roman"/>
          <w:sz w:val="20"/>
          <w:szCs w:val="20"/>
        </w:rPr>
        <w:t xml:space="preserve"> (or prefecture), county, and township. As of 1998, there are 31 provincial-level, 331 municipal-level, and 2863 county-level governments.   </w:t>
      </w:r>
    </w:p>
  </w:footnote>
  <w:footnote w:id="4">
    <w:p w14:paraId="69546B06" w14:textId="6B801420" w:rsidR="0018384A" w:rsidRPr="00972B99" w:rsidRDefault="0018384A" w:rsidP="00A2497E">
      <w:pPr>
        <w:pStyle w:val="FootnoteText"/>
        <w:rPr>
          <w:rStyle w:val="Hyperlink"/>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See: http://gsrb.gansudaily.com.cn/system/2004/06/04/000120947.shtml, and  </w:t>
      </w:r>
      <w:r w:rsidRPr="00972B99">
        <w:rPr>
          <w:rStyle w:val="Hyperlink"/>
          <w:rFonts w:ascii="Times New Roman" w:hAnsi="Times New Roman"/>
          <w:sz w:val="20"/>
          <w:szCs w:val="20"/>
        </w:rPr>
        <w:t>http://jxrd.jxnews.com.cn/system/2009/09/30/011217616.shtml</w:t>
      </w:r>
    </w:p>
  </w:footnote>
  <w:footnote w:id="5">
    <w:p w14:paraId="583A4D4D" w14:textId="337CDA68" w:rsidR="0018384A" w:rsidRPr="00972B99" w:rsidRDefault="0018384A" w:rsidP="00A2497E">
      <w:pPr>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For instance, before 2002, except for SOEs that belong to the central government, corporate income tax on all other firms was collected by the Local Tax Bureau and retained by the local government. On January 1st, 2002, the State Council enacted the “Income Tax Sharing Reform Act”. Although corporate income tax was still collected by Local Tax Bureau, the central government began to share this revenue with the local government. In 2002, the central and local share was half each. After 2003, the central share was increased to 60%. For the sharing of corporate income taxes between provincial and sub-provincial governments, the rule is not as certain as that between the central and local government—the rule differs by provinces.  However, the oversight local government almost always obtains the highest share (Li and Ma, 2015).</w:t>
      </w:r>
    </w:p>
  </w:footnote>
  <w:footnote w:id="6">
    <w:p w14:paraId="4FB46DAB" w14:textId="77777777"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See </w:t>
      </w:r>
      <w:r w:rsidRPr="00972B99">
        <w:rPr>
          <w:rStyle w:val="Hyperlink"/>
          <w:rFonts w:ascii="Times New Roman" w:hAnsi="Times New Roman"/>
          <w:sz w:val="20"/>
          <w:szCs w:val="20"/>
        </w:rPr>
        <w:t>http://www.chinaacc.com/new/63/74/117/2006/1/li2366263215171600215588-0.htm</w:t>
      </w:r>
      <w:r w:rsidRPr="00972B99">
        <w:rPr>
          <w:rFonts w:ascii="Times New Roman" w:eastAsia="Times New Roman" w:hAnsi="Times New Roman"/>
          <w:sz w:val="20"/>
          <w:szCs w:val="20"/>
        </w:rPr>
        <w:t xml:space="preserve"> (in Chinese).</w:t>
      </w:r>
    </w:p>
  </w:footnote>
  <w:footnote w:id="7">
    <w:p w14:paraId="57E02C23" w14:textId="77777777"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See http://www.cfen.com.cn/web/meyw/2006-03/02/content_224793.htm, and http://jiangxi.jxnews.com.cn/system/2008/08/23/002826923.shtml. </w:t>
      </w:r>
    </w:p>
  </w:footnote>
  <w:footnote w:id="8">
    <w:p w14:paraId="4E0A0D96" w14:textId="77777777"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Here the distance implies travelling time rather than physical distance.</w:t>
      </w:r>
    </w:p>
  </w:footnote>
  <w:footnote w:id="9">
    <w:p w14:paraId="02884C3D" w14:textId="607C472D" w:rsidR="0018384A" w:rsidRPr="00972B99" w:rsidRDefault="0018384A">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In other words, we only keep the periods of data for SOEs who were either non-decentralized or just decentralized.  </w:t>
      </w:r>
    </w:p>
  </w:footnote>
  <w:footnote w:id="10">
    <w:p w14:paraId="72B80948" w14:textId="77777777" w:rsidR="0018384A" w:rsidRPr="00972B99" w:rsidRDefault="0018384A" w:rsidP="00A2497E">
      <w:pPr>
        <w:pStyle w:val="FootnoteText"/>
        <w:jc w:val="both"/>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In the data, every firm is given a unique firm code. A small number of firms may change their firm codes within the sample period but remain in the sample.  To solve this issue, we follow Bai et al. (2009) and Brandt et al. (2011), and obtain firms’ unique codes relying on the firm’s name, address, zip code, telephone number, and legal representative so that those firms with changed codes can be allocated unique codes throughout our sample period.   The data cleaning includes four steps.  First, if the firm code is the same for year t and t+1, we keep the original code.  Second, for firms that appear in year t but not in t+1, we find firms with identical firm names and given the year t+1 observation the original firm code of the firm with the same name in year t.  Third, repeat step 2, but relying on zip codes and the names of legal representatives to identify unique firm.  Fourth, repeat step 2, but now rely instead on zip codes and telephone numbers.</w:t>
      </w:r>
    </w:p>
  </w:footnote>
  <w:footnote w:id="11">
    <w:p w14:paraId="19490E89" w14:textId="7FADF148"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Notice that we have used “prefecture” and “municipality” alternatively within this paper for the administrative level between province and county levels.</w:t>
      </w:r>
    </w:p>
  </w:footnote>
  <w:footnote w:id="12">
    <w:p w14:paraId="31E34A0A" w14:textId="0532009F" w:rsidR="0018384A" w:rsidRPr="00972B99" w:rsidRDefault="0018384A">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For the central SOEs sample, we do not include these additional variables for the original oversight government because there is only one central government, and these additional variables would be perfectly collinear with the year dummies, which we have already controlled for.</w:t>
      </w:r>
    </w:p>
  </w:footnote>
  <w:footnote w:id="13">
    <w:p w14:paraId="2525FB50" w14:textId="77777777" w:rsidR="0018384A" w:rsidRPr="00972B99" w:rsidRDefault="0018384A" w:rsidP="00A2497E">
      <w:pPr>
        <w:pStyle w:val="FootnoteText"/>
        <w:rPr>
          <w:rFonts w:ascii="Times New Roman" w:hAnsi="Times New Roman"/>
          <w:sz w:val="20"/>
          <w:szCs w:val="20"/>
        </w:rPr>
      </w:pPr>
      <w:r w:rsidRPr="00972B99">
        <w:rPr>
          <w:rStyle w:val="FootnoteReference"/>
          <w:rFonts w:ascii="Times New Roman" w:hAnsi="Times New Roman"/>
          <w:sz w:val="20"/>
          <w:szCs w:val="20"/>
        </w:rPr>
        <w:footnoteRef/>
      </w:r>
      <w:r w:rsidRPr="00972B99">
        <w:rPr>
          <w:rFonts w:ascii="Times New Roman" w:hAnsi="Times New Roman"/>
          <w:sz w:val="20"/>
          <w:szCs w:val="20"/>
        </w:rPr>
        <w:t xml:space="preserve"> The corresponding increase when using dispersion of TFP based on the index function method is almost 130 percent.</w:t>
      </w:r>
    </w:p>
  </w:footnote>
  <w:footnote w:id="14">
    <w:p w14:paraId="05314A1C" w14:textId="77777777" w:rsidR="00AF15CE" w:rsidRDefault="00AF15CE" w:rsidP="00AF15CE">
      <w:pPr>
        <w:pStyle w:val="FootnoteText"/>
      </w:pPr>
      <w:r>
        <w:rPr>
          <w:rStyle w:val="FootnoteReference"/>
        </w:rPr>
        <w:footnoteRef/>
      </w:r>
      <w:r>
        <w:t xml:space="preserve"> China’s Industrial Classification (CIC) system has 30 two-digit manufacturing industries. </w:t>
      </w:r>
    </w:p>
  </w:footnote>
  <w:footnote w:id="15">
    <w:p w14:paraId="4EF4D73B" w14:textId="77777777" w:rsidR="00AF15CE" w:rsidRDefault="00AF15CE" w:rsidP="00AF15CE">
      <w:pPr>
        <w:pStyle w:val="FootnoteText"/>
      </w:pPr>
      <w:r>
        <w:rPr>
          <w:rStyle w:val="FootnoteReference"/>
        </w:rPr>
        <w:footnoteRef/>
      </w:r>
      <w:r>
        <w:t xml:space="preserve"> Since China Statistics Yearbook report the growth rate of nominal capital stock in the two-digit industry from 1986, we assume firms established before 1986 are established in 1986.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1BAC"/>
    <w:multiLevelType w:val="multilevel"/>
    <w:tmpl w:val="7F5EA1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461EF6"/>
    <w:multiLevelType w:val="hybridMultilevel"/>
    <w:tmpl w:val="06DEC81C"/>
    <w:lvl w:ilvl="0" w:tplc="5D0CF116">
      <w:start w:val="1"/>
      <w:numFmt w:val="bullet"/>
      <w:lvlText w:val="•"/>
      <w:lvlJc w:val="left"/>
      <w:pPr>
        <w:tabs>
          <w:tab w:val="num" w:pos="720"/>
        </w:tabs>
        <w:ind w:left="720" w:hanging="360"/>
      </w:pPr>
      <w:rPr>
        <w:rFonts w:ascii="Arial" w:hAnsi="Arial" w:hint="default"/>
      </w:rPr>
    </w:lvl>
    <w:lvl w:ilvl="1" w:tplc="981004E0" w:tentative="1">
      <w:start w:val="1"/>
      <w:numFmt w:val="bullet"/>
      <w:lvlText w:val="•"/>
      <w:lvlJc w:val="left"/>
      <w:pPr>
        <w:tabs>
          <w:tab w:val="num" w:pos="1440"/>
        </w:tabs>
        <w:ind w:left="1440" w:hanging="360"/>
      </w:pPr>
      <w:rPr>
        <w:rFonts w:ascii="Arial" w:hAnsi="Arial" w:hint="default"/>
      </w:rPr>
    </w:lvl>
    <w:lvl w:ilvl="2" w:tplc="60CC0516" w:tentative="1">
      <w:start w:val="1"/>
      <w:numFmt w:val="bullet"/>
      <w:lvlText w:val="•"/>
      <w:lvlJc w:val="left"/>
      <w:pPr>
        <w:tabs>
          <w:tab w:val="num" w:pos="2160"/>
        </w:tabs>
        <w:ind w:left="2160" w:hanging="360"/>
      </w:pPr>
      <w:rPr>
        <w:rFonts w:ascii="Arial" w:hAnsi="Arial" w:hint="default"/>
      </w:rPr>
    </w:lvl>
    <w:lvl w:ilvl="3" w:tplc="6B90D14C" w:tentative="1">
      <w:start w:val="1"/>
      <w:numFmt w:val="bullet"/>
      <w:lvlText w:val="•"/>
      <w:lvlJc w:val="left"/>
      <w:pPr>
        <w:tabs>
          <w:tab w:val="num" w:pos="2880"/>
        </w:tabs>
        <w:ind w:left="2880" w:hanging="360"/>
      </w:pPr>
      <w:rPr>
        <w:rFonts w:ascii="Arial" w:hAnsi="Arial" w:hint="default"/>
      </w:rPr>
    </w:lvl>
    <w:lvl w:ilvl="4" w:tplc="DECCD8D8" w:tentative="1">
      <w:start w:val="1"/>
      <w:numFmt w:val="bullet"/>
      <w:lvlText w:val="•"/>
      <w:lvlJc w:val="left"/>
      <w:pPr>
        <w:tabs>
          <w:tab w:val="num" w:pos="3600"/>
        </w:tabs>
        <w:ind w:left="3600" w:hanging="360"/>
      </w:pPr>
      <w:rPr>
        <w:rFonts w:ascii="Arial" w:hAnsi="Arial" w:hint="default"/>
      </w:rPr>
    </w:lvl>
    <w:lvl w:ilvl="5" w:tplc="6BD67BFE" w:tentative="1">
      <w:start w:val="1"/>
      <w:numFmt w:val="bullet"/>
      <w:lvlText w:val="•"/>
      <w:lvlJc w:val="left"/>
      <w:pPr>
        <w:tabs>
          <w:tab w:val="num" w:pos="4320"/>
        </w:tabs>
        <w:ind w:left="4320" w:hanging="360"/>
      </w:pPr>
      <w:rPr>
        <w:rFonts w:ascii="Arial" w:hAnsi="Arial" w:hint="default"/>
      </w:rPr>
    </w:lvl>
    <w:lvl w:ilvl="6" w:tplc="4E6CF3D8" w:tentative="1">
      <w:start w:val="1"/>
      <w:numFmt w:val="bullet"/>
      <w:lvlText w:val="•"/>
      <w:lvlJc w:val="left"/>
      <w:pPr>
        <w:tabs>
          <w:tab w:val="num" w:pos="5040"/>
        </w:tabs>
        <w:ind w:left="5040" w:hanging="360"/>
      </w:pPr>
      <w:rPr>
        <w:rFonts w:ascii="Arial" w:hAnsi="Arial" w:hint="default"/>
      </w:rPr>
    </w:lvl>
    <w:lvl w:ilvl="7" w:tplc="675811DA" w:tentative="1">
      <w:start w:val="1"/>
      <w:numFmt w:val="bullet"/>
      <w:lvlText w:val="•"/>
      <w:lvlJc w:val="left"/>
      <w:pPr>
        <w:tabs>
          <w:tab w:val="num" w:pos="5760"/>
        </w:tabs>
        <w:ind w:left="5760" w:hanging="360"/>
      </w:pPr>
      <w:rPr>
        <w:rFonts w:ascii="Arial" w:hAnsi="Arial" w:hint="default"/>
      </w:rPr>
    </w:lvl>
    <w:lvl w:ilvl="8" w:tplc="34867F4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B726BA"/>
    <w:multiLevelType w:val="hybridMultilevel"/>
    <w:tmpl w:val="F022E5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C75F6A"/>
    <w:multiLevelType w:val="hybridMultilevel"/>
    <w:tmpl w:val="4D5AF67C"/>
    <w:lvl w:ilvl="0" w:tplc="7D20D8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0A7504"/>
    <w:multiLevelType w:val="hybridMultilevel"/>
    <w:tmpl w:val="E3F4BD5A"/>
    <w:lvl w:ilvl="0" w:tplc="3EE40B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C6879"/>
    <w:multiLevelType w:val="hybridMultilevel"/>
    <w:tmpl w:val="697426DA"/>
    <w:lvl w:ilvl="0" w:tplc="C0CE4EDC">
      <w:start w:val="1"/>
      <w:numFmt w:val="bullet"/>
      <w:lvlText w:val="•"/>
      <w:lvlJc w:val="left"/>
      <w:pPr>
        <w:tabs>
          <w:tab w:val="num" w:pos="720"/>
        </w:tabs>
        <w:ind w:left="720" w:hanging="360"/>
      </w:pPr>
      <w:rPr>
        <w:rFonts w:ascii="Arial" w:hAnsi="Arial" w:hint="default"/>
      </w:rPr>
    </w:lvl>
    <w:lvl w:ilvl="1" w:tplc="A3D48986">
      <w:start w:val="4117"/>
      <w:numFmt w:val="bullet"/>
      <w:lvlText w:val="–"/>
      <w:lvlJc w:val="left"/>
      <w:pPr>
        <w:tabs>
          <w:tab w:val="num" w:pos="1440"/>
        </w:tabs>
        <w:ind w:left="1440" w:hanging="360"/>
      </w:pPr>
      <w:rPr>
        <w:rFonts w:ascii="Arial" w:hAnsi="Arial" w:hint="default"/>
      </w:rPr>
    </w:lvl>
    <w:lvl w:ilvl="2" w:tplc="78DAAE1E" w:tentative="1">
      <w:start w:val="1"/>
      <w:numFmt w:val="bullet"/>
      <w:lvlText w:val="•"/>
      <w:lvlJc w:val="left"/>
      <w:pPr>
        <w:tabs>
          <w:tab w:val="num" w:pos="2160"/>
        </w:tabs>
        <w:ind w:left="2160" w:hanging="360"/>
      </w:pPr>
      <w:rPr>
        <w:rFonts w:ascii="Arial" w:hAnsi="Arial" w:hint="default"/>
      </w:rPr>
    </w:lvl>
    <w:lvl w:ilvl="3" w:tplc="5F1C4526" w:tentative="1">
      <w:start w:val="1"/>
      <w:numFmt w:val="bullet"/>
      <w:lvlText w:val="•"/>
      <w:lvlJc w:val="left"/>
      <w:pPr>
        <w:tabs>
          <w:tab w:val="num" w:pos="2880"/>
        </w:tabs>
        <w:ind w:left="2880" w:hanging="360"/>
      </w:pPr>
      <w:rPr>
        <w:rFonts w:ascii="Arial" w:hAnsi="Arial" w:hint="default"/>
      </w:rPr>
    </w:lvl>
    <w:lvl w:ilvl="4" w:tplc="26D41DDC" w:tentative="1">
      <w:start w:val="1"/>
      <w:numFmt w:val="bullet"/>
      <w:lvlText w:val="•"/>
      <w:lvlJc w:val="left"/>
      <w:pPr>
        <w:tabs>
          <w:tab w:val="num" w:pos="3600"/>
        </w:tabs>
        <w:ind w:left="3600" w:hanging="360"/>
      </w:pPr>
      <w:rPr>
        <w:rFonts w:ascii="Arial" w:hAnsi="Arial" w:hint="default"/>
      </w:rPr>
    </w:lvl>
    <w:lvl w:ilvl="5" w:tplc="F4DAF680" w:tentative="1">
      <w:start w:val="1"/>
      <w:numFmt w:val="bullet"/>
      <w:lvlText w:val="•"/>
      <w:lvlJc w:val="left"/>
      <w:pPr>
        <w:tabs>
          <w:tab w:val="num" w:pos="4320"/>
        </w:tabs>
        <w:ind w:left="4320" w:hanging="360"/>
      </w:pPr>
      <w:rPr>
        <w:rFonts w:ascii="Arial" w:hAnsi="Arial" w:hint="default"/>
      </w:rPr>
    </w:lvl>
    <w:lvl w:ilvl="6" w:tplc="4BDEF194" w:tentative="1">
      <w:start w:val="1"/>
      <w:numFmt w:val="bullet"/>
      <w:lvlText w:val="•"/>
      <w:lvlJc w:val="left"/>
      <w:pPr>
        <w:tabs>
          <w:tab w:val="num" w:pos="5040"/>
        </w:tabs>
        <w:ind w:left="5040" w:hanging="360"/>
      </w:pPr>
      <w:rPr>
        <w:rFonts w:ascii="Arial" w:hAnsi="Arial" w:hint="default"/>
      </w:rPr>
    </w:lvl>
    <w:lvl w:ilvl="7" w:tplc="6D1A1C8A" w:tentative="1">
      <w:start w:val="1"/>
      <w:numFmt w:val="bullet"/>
      <w:lvlText w:val="•"/>
      <w:lvlJc w:val="left"/>
      <w:pPr>
        <w:tabs>
          <w:tab w:val="num" w:pos="5760"/>
        </w:tabs>
        <w:ind w:left="5760" w:hanging="360"/>
      </w:pPr>
      <w:rPr>
        <w:rFonts w:ascii="Arial" w:hAnsi="Arial" w:hint="default"/>
      </w:rPr>
    </w:lvl>
    <w:lvl w:ilvl="8" w:tplc="3FDEAF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 w15:restartNumberingAfterBreak="0">
    <w:nsid w:val="42806488"/>
    <w:multiLevelType w:val="hybridMultilevel"/>
    <w:tmpl w:val="F6C6CE2C"/>
    <w:lvl w:ilvl="0" w:tplc="F89AD184">
      <w:start w:val="1"/>
      <w:numFmt w:val="bullet"/>
      <w:lvlText w:val="•"/>
      <w:lvlJc w:val="left"/>
      <w:pPr>
        <w:tabs>
          <w:tab w:val="num" w:pos="720"/>
        </w:tabs>
        <w:ind w:left="720" w:hanging="360"/>
      </w:pPr>
      <w:rPr>
        <w:rFonts w:ascii="Arial" w:hAnsi="Arial" w:hint="default"/>
      </w:rPr>
    </w:lvl>
    <w:lvl w:ilvl="1" w:tplc="4DDC4E74" w:tentative="1">
      <w:start w:val="1"/>
      <w:numFmt w:val="bullet"/>
      <w:lvlText w:val="•"/>
      <w:lvlJc w:val="left"/>
      <w:pPr>
        <w:tabs>
          <w:tab w:val="num" w:pos="1440"/>
        </w:tabs>
        <w:ind w:left="1440" w:hanging="360"/>
      </w:pPr>
      <w:rPr>
        <w:rFonts w:ascii="Arial" w:hAnsi="Arial" w:hint="default"/>
      </w:rPr>
    </w:lvl>
    <w:lvl w:ilvl="2" w:tplc="2C9E04CE" w:tentative="1">
      <w:start w:val="1"/>
      <w:numFmt w:val="bullet"/>
      <w:lvlText w:val="•"/>
      <w:lvlJc w:val="left"/>
      <w:pPr>
        <w:tabs>
          <w:tab w:val="num" w:pos="2160"/>
        </w:tabs>
        <w:ind w:left="2160" w:hanging="360"/>
      </w:pPr>
      <w:rPr>
        <w:rFonts w:ascii="Arial" w:hAnsi="Arial" w:hint="default"/>
      </w:rPr>
    </w:lvl>
    <w:lvl w:ilvl="3" w:tplc="D00C0658" w:tentative="1">
      <w:start w:val="1"/>
      <w:numFmt w:val="bullet"/>
      <w:lvlText w:val="•"/>
      <w:lvlJc w:val="left"/>
      <w:pPr>
        <w:tabs>
          <w:tab w:val="num" w:pos="2880"/>
        </w:tabs>
        <w:ind w:left="2880" w:hanging="360"/>
      </w:pPr>
      <w:rPr>
        <w:rFonts w:ascii="Arial" w:hAnsi="Arial" w:hint="default"/>
      </w:rPr>
    </w:lvl>
    <w:lvl w:ilvl="4" w:tplc="A6FCB7EE" w:tentative="1">
      <w:start w:val="1"/>
      <w:numFmt w:val="bullet"/>
      <w:lvlText w:val="•"/>
      <w:lvlJc w:val="left"/>
      <w:pPr>
        <w:tabs>
          <w:tab w:val="num" w:pos="3600"/>
        </w:tabs>
        <w:ind w:left="3600" w:hanging="360"/>
      </w:pPr>
      <w:rPr>
        <w:rFonts w:ascii="Arial" w:hAnsi="Arial" w:hint="default"/>
      </w:rPr>
    </w:lvl>
    <w:lvl w:ilvl="5" w:tplc="AE34B0E2" w:tentative="1">
      <w:start w:val="1"/>
      <w:numFmt w:val="bullet"/>
      <w:lvlText w:val="•"/>
      <w:lvlJc w:val="left"/>
      <w:pPr>
        <w:tabs>
          <w:tab w:val="num" w:pos="4320"/>
        </w:tabs>
        <w:ind w:left="4320" w:hanging="360"/>
      </w:pPr>
      <w:rPr>
        <w:rFonts w:ascii="Arial" w:hAnsi="Arial" w:hint="default"/>
      </w:rPr>
    </w:lvl>
    <w:lvl w:ilvl="6" w:tplc="67581FFC" w:tentative="1">
      <w:start w:val="1"/>
      <w:numFmt w:val="bullet"/>
      <w:lvlText w:val="•"/>
      <w:lvlJc w:val="left"/>
      <w:pPr>
        <w:tabs>
          <w:tab w:val="num" w:pos="5040"/>
        </w:tabs>
        <w:ind w:left="5040" w:hanging="360"/>
      </w:pPr>
      <w:rPr>
        <w:rFonts w:ascii="Arial" w:hAnsi="Arial" w:hint="default"/>
      </w:rPr>
    </w:lvl>
    <w:lvl w:ilvl="7" w:tplc="72E4F06E" w:tentative="1">
      <w:start w:val="1"/>
      <w:numFmt w:val="bullet"/>
      <w:lvlText w:val="•"/>
      <w:lvlJc w:val="left"/>
      <w:pPr>
        <w:tabs>
          <w:tab w:val="num" w:pos="5760"/>
        </w:tabs>
        <w:ind w:left="5760" w:hanging="360"/>
      </w:pPr>
      <w:rPr>
        <w:rFonts w:ascii="Arial" w:hAnsi="Arial" w:hint="default"/>
      </w:rPr>
    </w:lvl>
    <w:lvl w:ilvl="8" w:tplc="633A2F1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74608B7"/>
    <w:multiLevelType w:val="hybridMultilevel"/>
    <w:tmpl w:val="5BEA8622"/>
    <w:lvl w:ilvl="0" w:tplc="E1B44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8D12BC1"/>
    <w:multiLevelType w:val="hybridMultilevel"/>
    <w:tmpl w:val="A6CC8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C15A9D"/>
    <w:multiLevelType w:val="hybridMultilevel"/>
    <w:tmpl w:val="0706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0EE6590"/>
    <w:multiLevelType w:val="hybridMultilevel"/>
    <w:tmpl w:val="3940C872"/>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3679A9"/>
    <w:multiLevelType w:val="multilevel"/>
    <w:tmpl w:val="1326EC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1C56C8"/>
    <w:multiLevelType w:val="hybridMultilevel"/>
    <w:tmpl w:val="E65CF05E"/>
    <w:lvl w:ilvl="0" w:tplc="2346BF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CCB463A"/>
    <w:multiLevelType w:val="hybridMultilevel"/>
    <w:tmpl w:val="A3E05B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E6C5771"/>
    <w:multiLevelType w:val="hybridMultilevel"/>
    <w:tmpl w:val="A02E7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1"/>
  </w:num>
  <w:num w:numId="4">
    <w:abstractNumId w:val="3"/>
  </w:num>
  <w:num w:numId="5">
    <w:abstractNumId w:val="2"/>
  </w:num>
  <w:num w:numId="6">
    <w:abstractNumId w:val="14"/>
  </w:num>
  <w:num w:numId="7">
    <w:abstractNumId w:val="5"/>
  </w:num>
  <w:num w:numId="8">
    <w:abstractNumId w:val="7"/>
  </w:num>
  <w:num w:numId="9">
    <w:abstractNumId w:val="10"/>
  </w:num>
  <w:num w:numId="10">
    <w:abstractNumId w:val="15"/>
  </w:num>
  <w:num w:numId="11">
    <w:abstractNumId w:val="11"/>
  </w:num>
  <w:num w:numId="12">
    <w:abstractNumId w:val="0"/>
  </w:num>
  <w:num w:numId="13">
    <w:abstractNumId w:val="6"/>
  </w:num>
  <w:num w:numId="14">
    <w:abstractNumId w:val="12"/>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5B1"/>
    <w:rsid w:val="00002ED4"/>
    <w:rsid w:val="00007C45"/>
    <w:rsid w:val="00016831"/>
    <w:rsid w:val="000202CF"/>
    <w:rsid w:val="00024599"/>
    <w:rsid w:val="000271E0"/>
    <w:rsid w:val="000352BB"/>
    <w:rsid w:val="000411FF"/>
    <w:rsid w:val="00041B5A"/>
    <w:rsid w:val="00045774"/>
    <w:rsid w:val="00046509"/>
    <w:rsid w:val="00051ADF"/>
    <w:rsid w:val="00053140"/>
    <w:rsid w:val="00055B92"/>
    <w:rsid w:val="000630A0"/>
    <w:rsid w:val="00063D49"/>
    <w:rsid w:val="00064524"/>
    <w:rsid w:val="0006471D"/>
    <w:rsid w:val="00064D8F"/>
    <w:rsid w:val="0007154A"/>
    <w:rsid w:val="00072492"/>
    <w:rsid w:val="0008100F"/>
    <w:rsid w:val="00081FDC"/>
    <w:rsid w:val="00082440"/>
    <w:rsid w:val="00082CE0"/>
    <w:rsid w:val="00091F91"/>
    <w:rsid w:val="000945A6"/>
    <w:rsid w:val="000972E0"/>
    <w:rsid w:val="000A1635"/>
    <w:rsid w:val="000A2B13"/>
    <w:rsid w:val="000B3955"/>
    <w:rsid w:val="000C12E6"/>
    <w:rsid w:val="000C39FB"/>
    <w:rsid w:val="000C3D3A"/>
    <w:rsid w:val="000C6E7C"/>
    <w:rsid w:val="000D1E7B"/>
    <w:rsid w:val="000D31F0"/>
    <w:rsid w:val="000D32A3"/>
    <w:rsid w:val="000D3617"/>
    <w:rsid w:val="000D4BD5"/>
    <w:rsid w:val="000D5293"/>
    <w:rsid w:val="000D591F"/>
    <w:rsid w:val="000D6A46"/>
    <w:rsid w:val="000E79A6"/>
    <w:rsid w:val="000E7E2B"/>
    <w:rsid w:val="000F1023"/>
    <w:rsid w:val="000F373C"/>
    <w:rsid w:val="000F6798"/>
    <w:rsid w:val="00100525"/>
    <w:rsid w:val="00103A0C"/>
    <w:rsid w:val="00107906"/>
    <w:rsid w:val="00113739"/>
    <w:rsid w:val="00117DDE"/>
    <w:rsid w:val="001204BE"/>
    <w:rsid w:val="001214C8"/>
    <w:rsid w:val="00122D92"/>
    <w:rsid w:val="00123A8C"/>
    <w:rsid w:val="00123E03"/>
    <w:rsid w:val="00132172"/>
    <w:rsid w:val="00136ADD"/>
    <w:rsid w:val="0014351B"/>
    <w:rsid w:val="00145D3A"/>
    <w:rsid w:val="001461B0"/>
    <w:rsid w:val="00161E7B"/>
    <w:rsid w:val="0017093E"/>
    <w:rsid w:val="001758A4"/>
    <w:rsid w:val="00175A97"/>
    <w:rsid w:val="00176AC0"/>
    <w:rsid w:val="00181DBD"/>
    <w:rsid w:val="0018384A"/>
    <w:rsid w:val="00184A60"/>
    <w:rsid w:val="00191DEA"/>
    <w:rsid w:val="001932AE"/>
    <w:rsid w:val="001B2959"/>
    <w:rsid w:val="001B3C46"/>
    <w:rsid w:val="001C511E"/>
    <w:rsid w:val="001C5C34"/>
    <w:rsid w:val="001C6049"/>
    <w:rsid w:val="001D363F"/>
    <w:rsid w:val="001D6B65"/>
    <w:rsid w:val="001F13E5"/>
    <w:rsid w:val="001F3CC0"/>
    <w:rsid w:val="001F3E27"/>
    <w:rsid w:val="002155A1"/>
    <w:rsid w:val="002262C3"/>
    <w:rsid w:val="00226A61"/>
    <w:rsid w:val="00234B92"/>
    <w:rsid w:val="00236021"/>
    <w:rsid w:val="00243F82"/>
    <w:rsid w:val="00244EEE"/>
    <w:rsid w:val="00245D7C"/>
    <w:rsid w:val="0025417C"/>
    <w:rsid w:val="00254815"/>
    <w:rsid w:val="00254A26"/>
    <w:rsid w:val="00256700"/>
    <w:rsid w:val="0025739E"/>
    <w:rsid w:val="00261FF2"/>
    <w:rsid w:val="00265AF0"/>
    <w:rsid w:val="00272568"/>
    <w:rsid w:val="00276FF0"/>
    <w:rsid w:val="00284242"/>
    <w:rsid w:val="002909CF"/>
    <w:rsid w:val="002A1ECD"/>
    <w:rsid w:val="002A39A4"/>
    <w:rsid w:val="002B0CE3"/>
    <w:rsid w:val="002B0D83"/>
    <w:rsid w:val="002C0500"/>
    <w:rsid w:val="002C1695"/>
    <w:rsid w:val="002D5CF8"/>
    <w:rsid w:val="002D659E"/>
    <w:rsid w:val="002E4C3A"/>
    <w:rsid w:val="002F1035"/>
    <w:rsid w:val="00300F6C"/>
    <w:rsid w:val="0030290A"/>
    <w:rsid w:val="00310825"/>
    <w:rsid w:val="003122F3"/>
    <w:rsid w:val="00315E70"/>
    <w:rsid w:val="00320785"/>
    <w:rsid w:val="00321E89"/>
    <w:rsid w:val="00321F82"/>
    <w:rsid w:val="003224FD"/>
    <w:rsid w:val="00323458"/>
    <w:rsid w:val="00326D62"/>
    <w:rsid w:val="0033074F"/>
    <w:rsid w:val="00330CDC"/>
    <w:rsid w:val="00334BA7"/>
    <w:rsid w:val="0033539F"/>
    <w:rsid w:val="00335DE9"/>
    <w:rsid w:val="0033675D"/>
    <w:rsid w:val="00340198"/>
    <w:rsid w:val="00345934"/>
    <w:rsid w:val="003459DD"/>
    <w:rsid w:val="00347BF6"/>
    <w:rsid w:val="003506C9"/>
    <w:rsid w:val="00352D97"/>
    <w:rsid w:val="0036106A"/>
    <w:rsid w:val="00361829"/>
    <w:rsid w:val="00363F8A"/>
    <w:rsid w:val="003657AB"/>
    <w:rsid w:val="00365E45"/>
    <w:rsid w:val="0037188D"/>
    <w:rsid w:val="00372BE8"/>
    <w:rsid w:val="00374C0F"/>
    <w:rsid w:val="00374C82"/>
    <w:rsid w:val="00376500"/>
    <w:rsid w:val="00376CD3"/>
    <w:rsid w:val="00381BC8"/>
    <w:rsid w:val="00384DC6"/>
    <w:rsid w:val="00385613"/>
    <w:rsid w:val="003864DF"/>
    <w:rsid w:val="003903C3"/>
    <w:rsid w:val="00394AA4"/>
    <w:rsid w:val="003A1927"/>
    <w:rsid w:val="003A3466"/>
    <w:rsid w:val="003A6D38"/>
    <w:rsid w:val="003B1A08"/>
    <w:rsid w:val="003B33F7"/>
    <w:rsid w:val="003B748D"/>
    <w:rsid w:val="003B7518"/>
    <w:rsid w:val="003D09DF"/>
    <w:rsid w:val="003E2489"/>
    <w:rsid w:val="003E3D57"/>
    <w:rsid w:val="003E5DA4"/>
    <w:rsid w:val="003E7AFE"/>
    <w:rsid w:val="003F2616"/>
    <w:rsid w:val="003F47E0"/>
    <w:rsid w:val="00401CB7"/>
    <w:rsid w:val="00422763"/>
    <w:rsid w:val="00423E2B"/>
    <w:rsid w:val="00426F31"/>
    <w:rsid w:val="00431939"/>
    <w:rsid w:val="0043250F"/>
    <w:rsid w:val="00433B47"/>
    <w:rsid w:val="00436D5F"/>
    <w:rsid w:val="004374F6"/>
    <w:rsid w:val="00440750"/>
    <w:rsid w:val="004434D0"/>
    <w:rsid w:val="00445027"/>
    <w:rsid w:val="00451518"/>
    <w:rsid w:val="004555DC"/>
    <w:rsid w:val="00455886"/>
    <w:rsid w:val="0046046D"/>
    <w:rsid w:val="0046074A"/>
    <w:rsid w:val="004637CB"/>
    <w:rsid w:val="0046409E"/>
    <w:rsid w:val="00466276"/>
    <w:rsid w:val="004664CE"/>
    <w:rsid w:val="00467F36"/>
    <w:rsid w:val="00472C36"/>
    <w:rsid w:val="004745DC"/>
    <w:rsid w:val="00480477"/>
    <w:rsid w:val="00480EB9"/>
    <w:rsid w:val="004833F8"/>
    <w:rsid w:val="00483AA6"/>
    <w:rsid w:val="00491C9B"/>
    <w:rsid w:val="004934A8"/>
    <w:rsid w:val="00493EB6"/>
    <w:rsid w:val="0049743F"/>
    <w:rsid w:val="004A1B0C"/>
    <w:rsid w:val="004A2FC7"/>
    <w:rsid w:val="004A59BB"/>
    <w:rsid w:val="004B1FE7"/>
    <w:rsid w:val="004B2E67"/>
    <w:rsid w:val="004C6B59"/>
    <w:rsid w:val="004D221A"/>
    <w:rsid w:val="004D46F3"/>
    <w:rsid w:val="004E0D8E"/>
    <w:rsid w:val="004F2420"/>
    <w:rsid w:val="004F3D7D"/>
    <w:rsid w:val="00501522"/>
    <w:rsid w:val="00501803"/>
    <w:rsid w:val="005020F6"/>
    <w:rsid w:val="00504817"/>
    <w:rsid w:val="00505AF4"/>
    <w:rsid w:val="00506177"/>
    <w:rsid w:val="00506CB6"/>
    <w:rsid w:val="00510B58"/>
    <w:rsid w:val="00513612"/>
    <w:rsid w:val="005136AC"/>
    <w:rsid w:val="0051467D"/>
    <w:rsid w:val="00515759"/>
    <w:rsid w:val="00515785"/>
    <w:rsid w:val="00521C8E"/>
    <w:rsid w:val="00523D3D"/>
    <w:rsid w:val="00525781"/>
    <w:rsid w:val="00530331"/>
    <w:rsid w:val="0053255D"/>
    <w:rsid w:val="00533A69"/>
    <w:rsid w:val="005345EC"/>
    <w:rsid w:val="00535676"/>
    <w:rsid w:val="00536850"/>
    <w:rsid w:val="0054169A"/>
    <w:rsid w:val="0054248E"/>
    <w:rsid w:val="0054361F"/>
    <w:rsid w:val="00544BD9"/>
    <w:rsid w:val="00544F89"/>
    <w:rsid w:val="0055456C"/>
    <w:rsid w:val="0055635F"/>
    <w:rsid w:val="005575FC"/>
    <w:rsid w:val="005666CD"/>
    <w:rsid w:val="00567C57"/>
    <w:rsid w:val="00571021"/>
    <w:rsid w:val="005742DF"/>
    <w:rsid w:val="00574E0C"/>
    <w:rsid w:val="005776DA"/>
    <w:rsid w:val="005804C5"/>
    <w:rsid w:val="00585786"/>
    <w:rsid w:val="005862B7"/>
    <w:rsid w:val="00587CF9"/>
    <w:rsid w:val="005904DD"/>
    <w:rsid w:val="00592150"/>
    <w:rsid w:val="0059349A"/>
    <w:rsid w:val="005A1700"/>
    <w:rsid w:val="005A60E1"/>
    <w:rsid w:val="005B11BD"/>
    <w:rsid w:val="005B1DCA"/>
    <w:rsid w:val="005B219E"/>
    <w:rsid w:val="005B2C28"/>
    <w:rsid w:val="005B57B5"/>
    <w:rsid w:val="005C10CC"/>
    <w:rsid w:val="005C1AA5"/>
    <w:rsid w:val="005D06CB"/>
    <w:rsid w:val="005D2191"/>
    <w:rsid w:val="005D32E8"/>
    <w:rsid w:val="005D3AFF"/>
    <w:rsid w:val="005E0DEA"/>
    <w:rsid w:val="005E49A5"/>
    <w:rsid w:val="00602371"/>
    <w:rsid w:val="00610213"/>
    <w:rsid w:val="00610A3C"/>
    <w:rsid w:val="00610B96"/>
    <w:rsid w:val="00613685"/>
    <w:rsid w:val="006136CE"/>
    <w:rsid w:val="00613BCA"/>
    <w:rsid w:val="00614E8C"/>
    <w:rsid w:val="006173A5"/>
    <w:rsid w:val="0062108C"/>
    <w:rsid w:val="006218F0"/>
    <w:rsid w:val="00621C6D"/>
    <w:rsid w:val="006238D8"/>
    <w:rsid w:val="006267EA"/>
    <w:rsid w:val="00630047"/>
    <w:rsid w:val="00631913"/>
    <w:rsid w:val="0063331C"/>
    <w:rsid w:val="00640959"/>
    <w:rsid w:val="00640F9E"/>
    <w:rsid w:val="00641E2F"/>
    <w:rsid w:val="00642468"/>
    <w:rsid w:val="00644B0F"/>
    <w:rsid w:val="00645558"/>
    <w:rsid w:val="00650D47"/>
    <w:rsid w:val="00651BEE"/>
    <w:rsid w:val="00652C64"/>
    <w:rsid w:val="00661C5A"/>
    <w:rsid w:val="00663001"/>
    <w:rsid w:val="006646E2"/>
    <w:rsid w:val="00665894"/>
    <w:rsid w:val="006677D1"/>
    <w:rsid w:val="00670F93"/>
    <w:rsid w:val="00673351"/>
    <w:rsid w:val="00676F9A"/>
    <w:rsid w:val="00680E42"/>
    <w:rsid w:val="00693C98"/>
    <w:rsid w:val="00696E70"/>
    <w:rsid w:val="006A1754"/>
    <w:rsid w:val="006A651E"/>
    <w:rsid w:val="006B139C"/>
    <w:rsid w:val="006C2CA6"/>
    <w:rsid w:val="006D2473"/>
    <w:rsid w:val="006D289F"/>
    <w:rsid w:val="006D2ED6"/>
    <w:rsid w:val="006D7C57"/>
    <w:rsid w:val="006E113E"/>
    <w:rsid w:val="006E19D9"/>
    <w:rsid w:val="006E439D"/>
    <w:rsid w:val="006E67A4"/>
    <w:rsid w:val="006E6AF1"/>
    <w:rsid w:val="006F2500"/>
    <w:rsid w:val="006F2917"/>
    <w:rsid w:val="00702258"/>
    <w:rsid w:val="00703CF7"/>
    <w:rsid w:val="0070420E"/>
    <w:rsid w:val="00704821"/>
    <w:rsid w:val="00706A9A"/>
    <w:rsid w:val="00707871"/>
    <w:rsid w:val="00710761"/>
    <w:rsid w:val="00712547"/>
    <w:rsid w:val="00712CF7"/>
    <w:rsid w:val="00722293"/>
    <w:rsid w:val="007247A0"/>
    <w:rsid w:val="007258A3"/>
    <w:rsid w:val="007269F8"/>
    <w:rsid w:val="0072728B"/>
    <w:rsid w:val="0073018A"/>
    <w:rsid w:val="00730385"/>
    <w:rsid w:val="0073367B"/>
    <w:rsid w:val="0073463E"/>
    <w:rsid w:val="007409E0"/>
    <w:rsid w:val="00743552"/>
    <w:rsid w:val="007448DE"/>
    <w:rsid w:val="00761285"/>
    <w:rsid w:val="00764AE3"/>
    <w:rsid w:val="00765E4C"/>
    <w:rsid w:val="00770A68"/>
    <w:rsid w:val="007727AF"/>
    <w:rsid w:val="00774B81"/>
    <w:rsid w:val="0078089D"/>
    <w:rsid w:val="007908F1"/>
    <w:rsid w:val="007A01B6"/>
    <w:rsid w:val="007A1804"/>
    <w:rsid w:val="007A5ADD"/>
    <w:rsid w:val="007B04D5"/>
    <w:rsid w:val="007B0500"/>
    <w:rsid w:val="007B419B"/>
    <w:rsid w:val="007B4623"/>
    <w:rsid w:val="007C10E0"/>
    <w:rsid w:val="007C149F"/>
    <w:rsid w:val="007C46F7"/>
    <w:rsid w:val="007C4D78"/>
    <w:rsid w:val="007C5036"/>
    <w:rsid w:val="007D0B5E"/>
    <w:rsid w:val="007D44C9"/>
    <w:rsid w:val="007D68BF"/>
    <w:rsid w:val="007D69AB"/>
    <w:rsid w:val="007E2474"/>
    <w:rsid w:val="007E5AB4"/>
    <w:rsid w:val="007E6597"/>
    <w:rsid w:val="007E7CEB"/>
    <w:rsid w:val="007E7F2F"/>
    <w:rsid w:val="007F294B"/>
    <w:rsid w:val="007F3F12"/>
    <w:rsid w:val="008051AE"/>
    <w:rsid w:val="0081267C"/>
    <w:rsid w:val="00815D57"/>
    <w:rsid w:val="008172F6"/>
    <w:rsid w:val="008237FE"/>
    <w:rsid w:val="008267B0"/>
    <w:rsid w:val="00833B07"/>
    <w:rsid w:val="00835CDC"/>
    <w:rsid w:val="008360EF"/>
    <w:rsid w:val="0083731B"/>
    <w:rsid w:val="00842DC3"/>
    <w:rsid w:val="008527AD"/>
    <w:rsid w:val="0085577B"/>
    <w:rsid w:val="0086517B"/>
    <w:rsid w:val="00866DF8"/>
    <w:rsid w:val="008670A6"/>
    <w:rsid w:val="00870AEB"/>
    <w:rsid w:val="00877C21"/>
    <w:rsid w:val="00891604"/>
    <w:rsid w:val="00891907"/>
    <w:rsid w:val="00891A80"/>
    <w:rsid w:val="008A32DF"/>
    <w:rsid w:val="008A6611"/>
    <w:rsid w:val="008A66A3"/>
    <w:rsid w:val="008A733D"/>
    <w:rsid w:val="008B0FE5"/>
    <w:rsid w:val="008B3289"/>
    <w:rsid w:val="008D5801"/>
    <w:rsid w:val="008D5823"/>
    <w:rsid w:val="008E0DFC"/>
    <w:rsid w:val="008E71E6"/>
    <w:rsid w:val="008F2AE4"/>
    <w:rsid w:val="008F627D"/>
    <w:rsid w:val="00900D70"/>
    <w:rsid w:val="00901EC5"/>
    <w:rsid w:val="00902053"/>
    <w:rsid w:val="00902526"/>
    <w:rsid w:val="00905D57"/>
    <w:rsid w:val="00906B0C"/>
    <w:rsid w:val="00907FA2"/>
    <w:rsid w:val="009129A1"/>
    <w:rsid w:val="009130ED"/>
    <w:rsid w:val="00920645"/>
    <w:rsid w:val="00924715"/>
    <w:rsid w:val="0093310A"/>
    <w:rsid w:val="00940781"/>
    <w:rsid w:val="00944E94"/>
    <w:rsid w:val="009526A6"/>
    <w:rsid w:val="00954F7F"/>
    <w:rsid w:val="00963742"/>
    <w:rsid w:val="009644B7"/>
    <w:rsid w:val="00972B99"/>
    <w:rsid w:val="00973D78"/>
    <w:rsid w:val="00976471"/>
    <w:rsid w:val="00982369"/>
    <w:rsid w:val="009843E2"/>
    <w:rsid w:val="0098638A"/>
    <w:rsid w:val="009867C8"/>
    <w:rsid w:val="009915FC"/>
    <w:rsid w:val="009A10C0"/>
    <w:rsid w:val="009A4058"/>
    <w:rsid w:val="009A7A17"/>
    <w:rsid w:val="009A7DF8"/>
    <w:rsid w:val="009B00E9"/>
    <w:rsid w:val="009B38A0"/>
    <w:rsid w:val="009B7444"/>
    <w:rsid w:val="009C2948"/>
    <w:rsid w:val="009C4572"/>
    <w:rsid w:val="009C45E1"/>
    <w:rsid w:val="009D23F8"/>
    <w:rsid w:val="009D32AF"/>
    <w:rsid w:val="009D3A90"/>
    <w:rsid w:val="009D7EBF"/>
    <w:rsid w:val="009E1502"/>
    <w:rsid w:val="009E330C"/>
    <w:rsid w:val="00A02079"/>
    <w:rsid w:val="00A034E6"/>
    <w:rsid w:val="00A044FB"/>
    <w:rsid w:val="00A04C0D"/>
    <w:rsid w:val="00A07521"/>
    <w:rsid w:val="00A1281F"/>
    <w:rsid w:val="00A15AF5"/>
    <w:rsid w:val="00A17B56"/>
    <w:rsid w:val="00A204C5"/>
    <w:rsid w:val="00A206EE"/>
    <w:rsid w:val="00A2497E"/>
    <w:rsid w:val="00A278ED"/>
    <w:rsid w:val="00A328E8"/>
    <w:rsid w:val="00A33D9A"/>
    <w:rsid w:val="00A37797"/>
    <w:rsid w:val="00A500A1"/>
    <w:rsid w:val="00A52072"/>
    <w:rsid w:val="00A63B46"/>
    <w:rsid w:val="00A642E6"/>
    <w:rsid w:val="00A651CA"/>
    <w:rsid w:val="00A659F9"/>
    <w:rsid w:val="00A7145E"/>
    <w:rsid w:val="00A73AC7"/>
    <w:rsid w:val="00A742CE"/>
    <w:rsid w:val="00A74316"/>
    <w:rsid w:val="00A774BB"/>
    <w:rsid w:val="00A81A01"/>
    <w:rsid w:val="00A87F4A"/>
    <w:rsid w:val="00A9012B"/>
    <w:rsid w:val="00A9593F"/>
    <w:rsid w:val="00A97652"/>
    <w:rsid w:val="00A97806"/>
    <w:rsid w:val="00AA0E5D"/>
    <w:rsid w:val="00AA1AB2"/>
    <w:rsid w:val="00AA37A0"/>
    <w:rsid w:val="00AA788C"/>
    <w:rsid w:val="00AB049E"/>
    <w:rsid w:val="00AB5216"/>
    <w:rsid w:val="00AB601F"/>
    <w:rsid w:val="00AC314F"/>
    <w:rsid w:val="00AC5E23"/>
    <w:rsid w:val="00AD06FF"/>
    <w:rsid w:val="00AD1373"/>
    <w:rsid w:val="00AD2017"/>
    <w:rsid w:val="00AD4847"/>
    <w:rsid w:val="00AD5D03"/>
    <w:rsid w:val="00AE0FD9"/>
    <w:rsid w:val="00AE0FFE"/>
    <w:rsid w:val="00AE30CE"/>
    <w:rsid w:val="00AF15CE"/>
    <w:rsid w:val="00AF2FCB"/>
    <w:rsid w:val="00B002D9"/>
    <w:rsid w:val="00B01707"/>
    <w:rsid w:val="00B063A6"/>
    <w:rsid w:val="00B10382"/>
    <w:rsid w:val="00B1190B"/>
    <w:rsid w:val="00B157B1"/>
    <w:rsid w:val="00B166A1"/>
    <w:rsid w:val="00B17054"/>
    <w:rsid w:val="00B2728D"/>
    <w:rsid w:val="00B30992"/>
    <w:rsid w:val="00B3223E"/>
    <w:rsid w:val="00B36BB5"/>
    <w:rsid w:val="00B518BD"/>
    <w:rsid w:val="00B526FD"/>
    <w:rsid w:val="00B5392E"/>
    <w:rsid w:val="00B57E72"/>
    <w:rsid w:val="00B618A6"/>
    <w:rsid w:val="00B62E06"/>
    <w:rsid w:val="00B64E8F"/>
    <w:rsid w:val="00B67969"/>
    <w:rsid w:val="00B729BE"/>
    <w:rsid w:val="00B74031"/>
    <w:rsid w:val="00B756BC"/>
    <w:rsid w:val="00B77F74"/>
    <w:rsid w:val="00B82EEE"/>
    <w:rsid w:val="00B8442B"/>
    <w:rsid w:val="00B85DBF"/>
    <w:rsid w:val="00B96B8C"/>
    <w:rsid w:val="00BA292D"/>
    <w:rsid w:val="00BA4A4A"/>
    <w:rsid w:val="00BA4AC2"/>
    <w:rsid w:val="00BB02FA"/>
    <w:rsid w:val="00BB4953"/>
    <w:rsid w:val="00BB5015"/>
    <w:rsid w:val="00BB65B1"/>
    <w:rsid w:val="00BB6D1B"/>
    <w:rsid w:val="00BC2C3E"/>
    <w:rsid w:val="00BC4F46"/>
    <w:rsid w:val="00BC69BF"/>
    <w:rsid w:val="00BD1BD7"/>
    <w:rsid w:val="00BE2636"/>
    <w:rsid w:val="00BF6B51"/>
    <w:rsid w:val="00BF6C3C"/>
    <w:rsid w:val="00BF7CDD"/>
    <w:rsid w:val="00C003F2"/>
    <w:rsid w:val="00C00D34"/>
    <w:rsid w:val="00C03757"/>
    <w:rsid w:val="00C07463"/>
    <w:rsid w:val="00C12642"/>
    <w:rsid w:val="00C25191"/>
    <w:rsid w:val="00C26C5D"/>
    <w:rsid w:val="00C2789F"/>
    <w:rsid w:val="00C30078"/>
    <w:rsid w:val="00C34E28"/>
    <w:rsid w:val="00C373D6"/>
    <w:rsid w:val="00C4406B"/>
    <w:rsid w:val="00C455E7"/>
    <w:rsid w:val="00C45B06"/>
    <w:rsid w:val="00C47ACB"/>
    <w:rsid w:val="00C5068C"/>
    <w:rsid w:val="00C537A8"/>
    <w:rsid w:val="00C559FF"/>
    <w:rsid w:val="00C57E06"/>
    <w:rsid w:val="00C72844"/>
    <w:rsid w:val="00C73CBE"/>
    <w:rsid w:val="00C7433E"/>
    <w:rsid w:val="00C8565C"/>
    <w:rsid w:val="00C96C01"/>
    <w:rsid w:val="00CA00DE"/>
    <w:rsid w:val="00CA0C0F"/>
    <w:rsid w:val="00CA3BBC"/>
    <w:rsid w:val="00CA78DC"/>
    <w:rsid w:val="00CB1201"/>
    <w:rsid w:val="00CB4DF6"/>
    <w:rsid w:val="00CB4F2F"/>
    <w:rsid w:val="00CB501B"/>
    <w:rsid w:val="00CB7695"/>
    <w:rsid w:val="00CC2231"/>
    <w:rsid w:val="00CC617D"/>
    <w:rsid w:val="00CC6F57"/>
    <w:rsid w:val="00CC7339"/>
    <w:rsid w:val="00CD236A"/>
    <w:rsid w:val="00CD5B03"/>
    <w:rsid w:val="00CE159D"/>
    <w:rsid w:val="00CE50D5"/>
    <w:rsid w:val="00CE759D"/>
    <w:rsid w:val="00CF04EF"/>
    <w:rsid w:val="00CF0968"/>
    <w:rsid w:val="00CF33F0"/>
    <w:rsid w:val="00CF5671"/>
    <w:rsid w:val="00D00199"/>
    <w:rsid w:val="00D01E6C"/>
    <w:rsid w:val="00D03344"/>
    <w:rsid w:val="00D04087"/>
    <w:rsid w:val="00D1408D"/>
    <w:rsid w:val="00D16CEB"/>
    <w:rsid w:val="00D205C3"/>
    <w:rsid w:val="00D25BEC"/>
    <w:rsid w:val="00D33E9B"/>
    <w:rsid w:val="00D34851"/>
    <w:rsid w:val="00D35388"/>
    <w:rsid w:val="00D416AF"/>
    <w:rsid w:val="00D43C73"/>
    <w:rsid w:val="00D4748E"/>
    <w:rsid w:val="00D515A9"/>
    <w:rsid w:val="00D5251C"/>
    <w:rsid w:val="00D55544"/>
    <w:rsid w:val="00D60627"/>
    <w:rsid w:val="00D61A71"/>
    <w:rsid w:val="00D7200B"/>
    <w:rsid w:val="00D73A45"/>
    <w:rsid w:val="00D827B2"/>
    <w:rsid w:val="00D906B1"/>
    <w:rsid w:val="00D9072F"/>
    <w:rsid w:val="00D9136D"/>
    <w:rsid w:val="00D9403D"/>
    <w:rsid w:val="00D94A85"/>
    <w:rsid w:val="00DB30F5"/>
    <w:rsid w:val="00DC0406"/>
    <w:rsid w:val="00DC3D25"/>
    <w:rsid w:val="00DD4CFF"/>
    <w:rsid w:val="00DD69B6"/>
    <w:rsid w:val="00DD6CA3"/>
    <w:rsid w:val="00DE100F"/>
    <w:rsid w:val="00DE69CB"/>
    <w:rsid w:val="00DE7B71"/>
    <w:rsid w:val="00DF027E"/>
    <w:rsid w:val="00DF502C"/>
    <w:rsid w:val="00DF57E7"/>
    <w:rsid w:val="00E02DEA"/>
    <w:rsid w:val="00E0587C"/>
    <w:rsid w:val="00E06907"/>
    <w:rsid w:val="00E11550"/>
    <w:rsid w:val="00E14245"/>
    <w:rsid w:val="00E1488A"/>
    <w:rsid w:val="00E16A97"/>
    <w:rsid w:val="00E17EB2"/>
    <w:rsid w:val="00E205A8"/>
    <w:rsid w:val="00E26319"/>
    <w:rsid w:val="00E304CA"/>
    <w:rsid w:val="00E32850"/>
    <w:rsid w:val="00E42A06"/>
    <w:rsid w:val="00E435C5"/>
    <w:rsid w:val="00E46C9C"/>
    <w:rsid w:val="00E50F5D"/>
    <w:rsid w:val="00E51C85"/>
    <w:rsid w:val="00E5361D"/>
    <w:rsid w:val="00E545BF"/>
    <w:rsid w:val="00E5460F"/>
    <w:rsid w:val="00E57605"/>
    <w:rsid w:val="00E612CE"/>
    <w:rsid w:val="00E62585"/>
    <w:rsid w:val="00E716B8"/>
    <w:rsid w:val="00E73531"/>
    <w:rsid w:val="00E753EC"/>
    <w:rsid w:val="00E8576F"/>
    <w:rsid w:val="00E9193C"/>
    <w:rsid w:val="00E947E2"/>
    <w:rsid w:val="00EA08A5"/>
    <w:rsid w:val="00EA27DD"/>
    <w:rsid w:val="00EA4EF3"/>
    <w:rsid w:val="00EB22C8"/>
    <w:rsid w:val="00EB4FD9"/>
    <w:rsid w:val="00EC253E"/>
    <w:rsid w:val="00EC47E6"/>
    <w:rsid w:val="00EC67A3"/>
    <w:rsid w:val="00EC7D02"/>
    <w:rsid w:val="00EC7F1B"/>
    <w:rsid w:val="00EE7169"/>
    <w:rsid w:val="00EE72B8"/>
    <w:rsid w:val="00EF07C8"/>
    <w:rsid w:val="00EF329C"/>
    <w:rsid w:val="00F05687"/>
    <w:rsid w:val="00F07145"/>
    <w:rsid w:val="00F117B9"/>
    <w:rsid w:val="00F11A75"/>
    <w:rsid w:val="00F14EA6"/>
    <w:rsid w:val="00F22CEB"/>
    <w:rsid w:val="00F2382F"/>
    <w:rsid w:val="00F24CD9"/>
    <w:rsid w:val="00F25EC0"/>
    <w:rsid w:val="00F26D08"/>
    <w:rsid w:val="00F43A3A"/>
    <w:rsid w:val="00F451FE"/>
    <w:rsid w:val="00F46006"/>
    <w:rsid w:val="00F46698"/>
    <w:rsid w:val="00F50081"/>
    <w:rsid w:val="00F5758B"/>
    <w:rsid w:val="00F60EC2"/>
    <w:rsid w:val="00F6507E"/>
    <w:rsid w:val="00F71F17"/>
    <w:rsid w:val="00F7532C"/>
    <w:rsid w:val="00F76DA1"/>
    <w:rsid w:val="00F81C8C"/>
    <w:rsid w:val="00F9714B"/>
    <w:rsid w:val="00FA49DB"/>
    <w:rsid w:val="00FC0453"/>
    <w:rsid w:val="00FC080F"/>
    <w:rsid w:val="00FC778C"/>
    <w:rsid w:val="00FD143B"/>
    <w:rsid w:val="00FD335B"/>
    <w:rsid w:val="00FE6894"/>
    <w:rsid w:val="00FF15D0"/>
    <w:rsid w:val="00FF2CE9"/>
    <w:rsid w:val="00FF3721"/>
    <w:rsid w:val="00FF4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10105B"/>
  <w15:docId w15:val="{AE2CD5E5-E113-42D2-9383-203A6CF22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3E"/>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53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EC253E"/>
    <w:rPr>
      <w:sz w:val="18"/>
      <w:szCs w:val="18"/>
    </w:rPr>
  </w:style>
  <w:style w:type="paragraph" w:styleId="Footer">
    <w:name w:val="footer"/>
    <w:basedOn w:val="Normal"/>
    <w:link w:val="FooterChar"/>
    <w:uiPriority w:val="99"/>
    <w:unhideWhenUsed/>
    <w:rsid w:val="00EC253E"/>
    <w:pPr>
      <w:tabs>
        <w:tab w:val="center" w:pos="4153"/>
        <w:tab w:val="right" w:pos="8306"/>
      </w:tabs>
      <w:snapToGrid w:val="0"/>
      <w:jc w:val="left"/>
    </w:pPr>
    <w:rPr>
      <w:sz w:val="18"/>
      <w:szCs w:val="18"/>
    </w:rPr>
  </w:style>
  <w:style w:type="character" w:customStyle="1" w:styleId="FooterChar">
    <w:name w:val="Footer Char"/>
    <w:link w:val="Footer"/>
    <w:uiPriority w:val="99"/>
    <w:rsid w:val="00EC253E"/>
    <w:rPr>
      <w:sz w:val="18"/>
      <w:szCs w:val="18"/>
    </w:rPr>
  </w:style>
  <w:style w:type="paragraph" w:styleId="BalloonText">
    <w:name w:val="Balloon Text"/>
    <w:basedOn w:val="Normal"/>
    <w:link w:val="BalloonTextChar"/>
    <w:uiPriority w:val="99"/>
    <w:semiHidden/>
    <w:unhideWhenUsed/>
    <w:rsid w:val="009A7A17"/>
    <w:rPr>
      <w:sz w:val="18"/>
      <w:szCs w:val="18"/>
    </w:rPr>
  </w:style>
  <w:style w:type="character" w:customStyle="1" w:styleId="BalloonTextChar">
    <w:name w:val="Balloon Text Char"/>
    <w:link w:val="BalloonText"/>
    <w:uiPriority w:val="99"/>
    <w:semiHidden/>
    <w:rsid w:val="009A7A17"/>
    <w:rPr>
      <w:rFonts w:cs="Times New Roman"/>
      <w:sz w:val="18"/>
      <w:szCs w:val="18"/>
    </w:rPr>
  </w:style>
  <w:style w:type="paragraph" w:styleId="ListParagraph">
    <w:name w:val="List Paragraph"/>
    <w:basedOn w:val="Normal"/>
    <w:uiPriority w:val="34"/>
    <w:qFormat/>
    <w:rsid w:val="008172F6"/>
    <w:pPr>
      <w:ind w:firstLineChars="200" w:firstLine="420"/>
    </w:pPr>
  </w:style>
  <w:style w:type="paragraph" w:styleId="FootnoteText">
    <w:name w:val="footnote text"/>
    <w:aliases w:val="single space,footnote text"/>
    <w:basedOn w:val="Normal"/>
    <w:link w:val="FootnoteTextChar"/>
    <w:uiPriority w:val="99"/>
    <w:unhideWhenUsed/>
    <w:rsid w:val="00E947E2"/>
    <w:pPr>
      <w:snapToGrid w:val="0"/>
      <w:jc w:val="left"/>
    </w:pPr>
    <w:rPr>
      <w:sz w:val="18"/>
      <w:szCs w:val="18"/>
    </w:rPr>
  </w:style>
  <w:style w:type="character" w:customStyle="1" w:styleId="FootnoteTextChar">
    <w:name w:val="Footnote Text Char"/>
    <w:aliases w:val="single space Char,footnote text Char"/>
    <w:link w:val="FootnoteText"/>
    <w:uiPriority w:val="99"/>
    <w:rsid w:val="00E947E2"/>
    <w:rPr>
      <w:rFonts w:cs="Times New Roman"/>
      <w:sz w:val="18"/>
      <w:szCs w:val="18"/>
    </w:rPr>
  </w:style>
  <w:style w:type="character" w:styleId="FootnoteReference">
    <w:name w:val="footnote reference"/>
    <w:uiPriority w:val="99"/>
    <w:unhideWhenUsed/>
    <w:rsid w:val="00E947E2"/>
    <w:rPr>
      <w:vertAlign w:val="superscript"/>
    </w:rPr>
  </w:style>
  <w:style w:type="paragraph" w:styleId="NormalWeb">
    <w:name w:val="Normal (Web)"/>
    <w:basedOn w:val="Normal"/>
    <w:uiPriority w:val="99"/>
    <w:unhideWhenUsed/>
    <w:rsid w:val="00613685"/>
    <w:pPr>
      <w:widowControl/>
      <w:spacing w:before="100" w:beforeAutospacing="1" w:after="100" w:afterAutospacing="1"/>
      <w:jc w:val="left"/>
    </w:pPr>
    <w:rPr>
      <w:rFonts w:ascii="SimSun" w:hAnsi="SimSun" w:cs="SimSun"/>
      <w:kern w:val="0"/>
      <w:sz w:val="24"/>
      <w:szCs w:val="24"/>
    </w:rPr>
  </w:style>
  <w:style w:type="character" w:styleId="PlaceholderText">
    <w:name w:val="Placeholder Text"/>
    <w:uiPriority w:val="99"/>
    <w:semiHidden/>
    <w:rsid w:val="00515759"/>
    <w:rPr>
      <w:color w:val="808080"/>
    </w:rPr>
  </w:style>
  <w:style w:type="character" w:styleId="CommentReference">
    <w:name w:val="annotation reference"/>
    <w:uiPriority w:val="99"/>
    <w:semiHidden/>
    <w:unhideWhenUsed/>
    <w:rsid w:val="00515759"/>
    <w:rPr>
      <w:sz w:val="16"/>
      <w:szCs w:val="16"/>
    </w:rPr>
  </w:style>
  <w:style w:type="paragraph" w:styleId="CommentText">
    <w:name w:val="annotation text"/>
    <w:basedOn w:val="Normal"/>
    <w:link w:val="CommentTextChar"/>
    <w:uiPriority w:val="99"/>
    <w:unhideWhenUsed/>
    <w:rsid w:val="00515759"/>
    <w:pPr>
      <w:widowControl/>
      <w:spacing w:after="200"/>
      <w:jc w:val="left"/>
    </w:pPr>
    <w:rPr>
      <w:kern w:val="0"/>
      <w:sz w:val="20"/>
      <w:szCs w:val="20"/>
    </w:rPr>
  </w:style>
  <w:style w:type="character" w:customStyle="1" w:styleId="CommentTextChar">
    <w:name w:val="Comment Text Char"/>
    <w:basedOn w:val="DefaultParagraphFont"/>
    <w:link w:val="CommentText"/>
    <w:uiPriority w:val="99"/>
    <w:rsid w:val="00515759"/>
  </w:style>
  <w:style w:type="paragraph" w:styleId="CommentSubject">
    <w:name w:val="annotation subject"/>
    <w:basedOn w:val="CommentText"/>
    <w:next w:val="CommentText"/>
    <w:link w:val="CommentSubjectChar"/>
    <w:uiPriority w:val="99"/>
    <w:semiHidden/>
    <w:unhideWhenUsed/>
    <w:rsid w:val="00515759"/>
    <w:rPr>
      <w:b/>
      <w:bCs/>
    </w:rPr>
  </w:style>
  <w:style w:type="character" w:customStyle="1" w:styleId="CommentSubjectChar">
    <w:name w:val="Comment Subject Char"/>
    <w:link w:val="CommentSubject"/>
    <w:uiPriority w:val="99"/>
    <w:semiHidden/>
    <w:rsid w:val="00515759"/>
    <w:rPr>
      <w:b/>
      <w:bCs/>
    </w:rPr>
  </w:style>
  <w:style w:type="paragraph" w:styleId="Revision">
    <w:name w:val="Revision"/>
    <w:hidden/>
    <w:uiPriority w:val="99"/>
    <w:semiHidden/>
    <w:rsid w:val="00515759"/>
    <w:rPr>
      <w:sz w:val="22"/>
      <w:szCs w:val="22"/>
    </w:rPr>
  </w:style>
  <w:style w:type="table" w:styleId="TableGrid">
    <w:name w:val="Table Grid"/>
    <w:basedOn w:val="TableNormal"/>
    <w:uiPriority w:val="59"/>
    <w:rsid w:val="0051575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515759"/>
  </w:style>
  <w:style w:type="character" w:styleId="Hyperlink">
    <w:name w:val="Hyperlink"/>
    <w:unhideWhenUsed/>
    <w:rsid w:val="00515759"/>
    <w:rPr>
      <w:color w:val="0000FF"/>
      <w:u w:val="single"/>
    </w:rPr>
  </w:style>
  <w:style w:type="paragraph" w:customStyle="1" w:styleId="Outline1">
    <w:name w:val="Outline1"/>
    <w:basedOn w:val="Normal"/>
    <w:next w:val="Outline2"/>
    <w:rsid w:val="00515759"/>
    <w:pPr>
      <w:keepNext/>
      <w:widowControl/>
      <w:numPr>
        <w:numId w:val="13"/>
      </w:numPr>
      <w:spacing w:before="240"/>
      <w:jc w:val="left"/>
    </w:pPr>
    <w:rPr>
      <w:rFonts w:ascii="Times New Roman" w:hAnsi="Times New Roman"/>
      <w:kern w:val="28"/>
      <w:sz w:val="24"/>
      <w:szCs w:val="20"/>
      <w:lang w:eastAsia="en-US"/>
    </w:rPr>
  </w:style>
  <w:style w:type="paragraph" w:customStyle="1" w:styleId="Outline2">
    <w:name w:val="Outline2"/>
    <w:basedOn w:val="Normal"/>
    <w:rsid w:val="00515759"/>
    <w:pPr>
      <w:widowControl/>
      <w:numPr>
        <w:ilvl w:val="1"/>
        <w:numId w:val="13"/>
      </w:numPr>
      <w:tabs>
        <w:tab w:val="clear" w:pos="1152"/>
        <w:tab w:val="num" w:pos="864"/>
      </w:tabs>
      <w:spacing w:before="240"/>
      <w:ind w:left="864" w:hanging="504"/>
      <w:jc w:val="left"/>
    </w:pPr>
    <w:rPr>
      <w:rFonts w:ascii="Times New Roman" w:hAnsi="Times New Roman"/>
      <w:kern w:val="28"/>
      <w:sz w:val="24"/>
      <w:szCs w:val="20"/>
      <w:lang w:eastAsia="en-US"/>
    </w:rPr>
  </w:style>
  <w:style w:type="paragraph" w:customStyle="1" w:styleId="Outline3">
    <w:name w:val="Outline3"/>
    <w:basedOn w:val="Normal"/>
    <w:rsid w:val="00515759"/>
    <w:pPr>
      <w:widowControl/>
      <w:numPr>
        <w:ilvl w:val="2"/>
        <w:numId w:val="13"/>
      </w:numPr>
      <w:tabs>
        <w:tab w:val="clear" w:pos="1728"/>
        <w:tab w:val="num" w:pos="1368"/>
      </w:tabs>
      <w:spacing w:before="240"/>
      <w:ind w:left="1368" w:hanging="504"/>
      <w:jc w:val="left"/>
    </w:pPr>
    <w:rPr>
      <w:rFonts w:ascii="Times New Roman" w:hAnsi="Times New Roman"/>
      <w:kern w:val="28"/>
      <w:sz w:val="24"/>
      <w:szCs w:val="20"/>
      <w:lang w:eastAsia="en-US"/>
    </w:rPr>
  </w:style>
  <w:style w:type="paragraph" w:customStyle="1" w:styleId="Outline4">
    <w:name w:val="Outline4"/>
    <w:basedOn w:val="Normal"/>
    <w:rsid w:val="00515759"/>
    <w:pPr>
      <w:widowControl/>
      <w:numPr>
        <w:ilvl w:val="3"/>
        <w:numId w:val="13"/>
      </w:numPr>
      <w:tabs>
        <w:tab w:val="clear" w:pos="2304"/>
        <w:tab w:val="num" w:pos="1872"/>
      </w:tabs>
      <w:spacing w:before="240"/>
      <w:ind w:left="1872" w:hanging="504"/>
      <w:jc w:val="left"/>
    </w:pPr>
    <w:rPr>
      <w:rFonts w:ascii="Times New Roman" w:hAnsi="Times New Roman"/>
      <w:kern w:val="28"/>
      <w:sz w:val="24"/>
      <w:szCs w:val="20"/>
      <w:lang w:eastAsia="en-US"/>
    </w:rPr>
  </w:style>
  <w:style w:type="character" w:styleId="Strong">
    <w:name w:val="Strong"/>
    <w:qFormat/>
    <w:rsid w:val="00515759"/>
    <w:rPr>
      <w:b/>
      <w:bCs/>
    </w:rPr>
  </w:style>
  <w:style w:type="character" w:customStyle="1" w:styleId="label2">
    <w:name w:val="label2"/>
    <w:rsid w:val="00515759"/>
  </w:style>
  <w:style w:type="character" w:customStyle="1" w:styleId="databold">
    <w:name w:val="data_bold"/>
    <w:rsid w:val="00515759"/>
  </w:style>
  <w:style w:type="numbering" w:customStyle="1" w:styleId="1">
    <w:name w:val="无列表1"/>
    <w:next w:val="NoList"/>
    <w:uiPriority w:val="99"/>
    <w:semiHidden/>
    <w:unhideWhenUsed/>
    <w:rsid w:val="00515759"/>
  </w:style>
  <w:style w:type="numbering" w:customStyle="1" w:styleId="2">
    <w:name w:val="无列表2"/>
    <w:next w:val="NoList"/>
    <w:uiPriority w:val="99"/>
    <w:semiHidden/>
    <w:unhideWhenUsed/>
    <w:rsid w:val="00515759"/>
  </w:style>
  <w:style w:type="paragraph" w:customStyle="1" w:styleId="Default">
    <w:name w:val="Default"/>
    <w:rsid w:val="00515759"/>
    <w:pPr>
      <w:widowControl w:val="0"/>
      <w:autoSpaceDE w:val="0"/>
      <w:autoSpaceDN w:val="0"/>
      <w:adjustRightInd w:val="0"/>
    </w:pPr>
    <w:rPr>
      <w:rFonts w:ascii="Code 2000" w:eastAsia="Code 2000" w:cs="Code 2000"/>
      <w:color w:val="000000"/>
      <w:sz w:val="24"/>
      <w:szCs w:val="24"/>
    </w:rPr>
  </w:style>
  <w:style w:type="numbering" w:customStyle="1" w:styleId="3">
    <w:name w:val="无列表3"/>
    <w:next w:val="NoList"/>
    <w:uiPriority w:val="99"/>
    <w:semiHidden/>
    <w:unhideWhenUsed/>
    <w:rsid w:val="00515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1296">
      <w:bodyDiv w:val="1"/>
      <w:marLeft w:val="0"/>
      <w:marRight w:val="0"/>
      <w:marTop w:val="0"/>
      <w:marBottom w:val="0"/>
      <w:divBdr>
        <w:top w:val="none" w:sz="0" w:space="0" w:color="auto"/>
        <w:left w:val="none" w:sz="0" w:space="0" w:color="auto"/>
        <w:bottom w:val="none" w:sz="0" w:space="0" w:color="auto"/>
        <w:right w:val="none" w:sz="0" w:space="0" w:color="auto"/>
      </w:divBdr>
    </w:div>
    <w:div w:id="32922434">
      <w:bodyDiv w:val="1"/>
      <w:marLeft w:val="0"/>
      <w:marRight w:val="0"/>
      <w:marTop w:val="0"/>
      <w:marBottom w:val="0"/>
      <w:divBdr>
        <w:top w:val="none" w:sz="0" w:space="0" w:color="auto"/>
        <w:left w:val="none" w:sz="0" w:space="0" w:color="auto"/>
        <w:bottom w:val="none" w:sz="0" w:space="0" w:color="auto"/>
        <w:right w:val="none" w:sz="0" w:space="0" w:color="auto"/>
      </w:divBdr>
      <w:divsChild>
        <w:div w:id="1400667712">
          <w:marLeft w:val="0"/>
          <w:marRight w:val="0"/>
          <w:marTop w:val="0"/>
          <w:marBottom w:val="0"/>
          <w:divBdr>
            <w:top w:val="none" w:sz="0" w:space="0" w:color="auto"/>
            <w:left w:val="none" w:sz="0" w:space="0" w:color="auto"/>
            <w:bottom w:val="none" w:sz="0" w:space="0" w:color="auto"/>
            <w:right w:val="none" w:sz="0" w:space="0" w:color="auto"/>
          </w:divBdr>
          <w:divsChild>
            <w:div w:id="41561570">
              <w:marLeft w:val="0"/>
              <w:marRight w:val="0"/>
              <w:marTop w:val="0"/>
              <w:marBottom w:val="0"/>
              <w:divBdr>
                <w:top w:val="none" w:sz="0" w:space="0" w:color="auto"/>
                <w:left w:val="none" w:sz="0" w:space="0" w:color="auto"/>
                <w:bottom w:val="none" w:sz="0" w:space="0" w:color="auto"/>
                <w:right w:val="none" w:sz="0" w:space="0" w:color="auto"/>
              </w:divBdr>
              <w:divsChild>
                <w:div w:id="11422121">
                  <w:marLeft w:val="0"/>
                  <w:marRight w:val="0"/>
                  <w:marTop w:val="0"/>
                  <w:marBottom w:val="0"/>
                  <w:divBdr>
                    <w:top w:val="none" w:sz="0" w:space="0" w:color="auto"/>
                    <w:left w:val="none" w:sz="0" w:space="0" w:color="auto"/>
                    <w:bottom w:val="none" w:sz="0" w:space="0" w:color="auto"/>
                    <w:right w:val="none" w:sz="0" w:space="0" w:color="auto"/>
                  </w:divBdr>
                  <w:divsChild>
                    <w:div w:id="2147236114">
                      <w:marLeft w:val="0"/>
                      <w:marRight w:val="0"/>
                      <w:marTop w:val="0"/>
                      <w:marBottom w:val="0"/>
                      <w:divBdr>
                        <w:top w:val="none" w:sz="0" w:space="0" w:color="auto"/>
                        <w:left w:val="none" w:sz="0" w:space="0" w:color="auto"/>
                        <w:bottom w:val="none" w:sz="0" w:space="0" w:color="auto"/>
                        <w:right w:val="none" w:sz="0" w:space="0" w:color="auto"/>
                      </w:divBdr>
                      <w:divsChild>
                        <w:div w:id="342636187">
                          <w:marLeft w:val="0"/>
                          <w:marRight w:val="0"/>
                          <w:marTop w:val="0"/>
                          <w:marBottom w:val="0"/>
                          <w:divBdr>
                            <w:top w:val="none" w:sz="0" w:space="0" w:color="auto"/>
                            <w:left w:val="none" w:sz="0" w:space="0" w:color="auto"/>
                            <w:bottom w:val="none" w:sz="0" w:space="0" w:color="auto"/>
                            <w:right w:val="none" w:sz="0" w:space="0" w:color="auto"/>
                          </w:divBdr>
                          <w:divsChild>
                            <w:div w:id="1224682396">
                              <w:marLeft w:val="0"/>
                              <w:marRight w:val="0"/>
                              <w:marTop w:val="0"/>
                              <w:marBottom w:val="0"/>
                              <w:divBdr>
                                <w:top w:val="none" w:sz="0" w:space="0" w:color="auto"/>
                                <w:left w:val="none" w:sz="0" w:space="0" w:color="auto"/>
                                <w:bottom w:val="none" w:sz="0" w:space="0" w:color="auto"/>
                                <w:right w:val="none" w:sz="0" w:space="0" w:color="auto"/>
                              </w:divBdr>
                              <w:divsChild>
                                <w:div w:id="1742169070">
                                  <w:marLeft w:val="0"/>
                                  <w:marRight w:val="0"/>
                                  <w:marTop w:val="0"/>
                                  <w:marBottom w:val="0"/>
                                  <w:divBdr>
                                    <w:top w:val="none" w:sz="0" w:space="0" w:color="auto"/>
                                    <w:left w:val="none" w:sz="0" w:space="0" w:color="auto"/>
                                    <w:bottom w:val="none" w:sz="0" w:space="0" w:color="auto"/>
                                    <w:right w:val="none" w:sz="0" w:space="0" w:color="auto"/>
                                  </w:divBdr>
                                  <w:divsChild>
                                    <w:div w:id="1918706843">
                                      <w:marLeft w:val="0"/>
                                      <w:marRight w:val="0"/>
                                      <w:marTop w:val="0"/>
                                      <w:marBottom w:val="0"/>
                                      <w:divBdr>
                                        <w:top w:val="none" w:sz="0" w:space="0" w:color="auto"/>
                                        <w:left w:val="none" w:sz="0" w:space="0" w:color="auto"/>
                                        <w:bottom w:val="none" w:sz="0" w:space="0" w:color="auto"/>
                                        <w:right w:val="none" w:sz="0" w:space="0" w:color="auto"/>
                                      </w:divBdr>
                                      <w:divsChild>
                                        <w:div w:id="992568603">
                                          <w:marLeft w:val="0"/>
                                          <w:marRight w:val="0"/>
                                          <w:marTop w:val="0"/>
                                          <w:marBottom w:val="0"/>
                                          <w:divBdr>
                                            <w:top w:val="none" w:sz="0" w:space="0" w:color="auto"/>
                                            <w:left w:val="none" w:sz="0" w:space="0" w:color="auto"/>
                                            <w:bottom w:val="none" w:sz="0" w:space="0" w:color="auto"/>
                                            <w:right w:val="none" w:sz="0" w:space="0" w:color="auto"/>
                                          </w:divBdr>
                                          <w:divsChild>
                                            <w:div w:id="1650396956">
                                              <w:marLeft w:val="0"/>
                                              <w:marRight w:val="0"/>
                                              <w:marTop w:val="0"/>
                                              <w:marBottom w:val="0"/>
                                              <w:divBdr>
                                                <w:top w:val="none" w:sz="0" w:space="0" w:color="auto"/>
                                                <w:left w:val="none" w:sz="0" w:space="0" w:color="auto"/>
                                                <w:bottom w:val="none" w:sz="0" w:space="0" w:color="auto"/>
                                                <w:right w:val="none" w:sz="0" w:space="0" w:color="auto"/>
                                              </w:divBdr>
                                              <w:divsChild>
                                                <w:div w:id="1475030305">
                                                  <w:marLeft w:val="0"/>
                                                  <w:marRight w:val="0"/>
                                                  <w:marTop w:val="0"/>
                                                  <w:marBottom w:val="0"/>
                                                  <w:divBdr>
                                                    <w:top w:val="none" w:sz="0" w:space="0" w:color="auto"/>
                                                    <w:left w:val="none" w:sz="0" w:space="0" w:color="auto"/>
                                                    <w:bottom w:val="none" w:sz="0" w:space="0" w:color="auto"/>
                                                    <w:right w:val="none" w:sz="0" w:space="0" w:color="auto"/>
                                                  </w:divBdr>
                                                  <w:divsChild>
                                                    <w:div w:id="889145551">
                                                      <w:marLeft w:val="0"/>
                                                      <w:marRight w:val="0"/>
                                                      <w:marTop w:val="0"/>
                                                      <w:marBottom w:val="0"/>
                                                      <w:divBdr>
                                                        <w:top w:val="none" w:sz="0" w:space="0" w:color="auto"/>
                                                        <w:left w:val="none" w:sz="0" w:space="0" w:color="auto"/>
                                                        <w:bottom w:val="none" w:sz="0" w:space="0" w:color="auto"/>
                                                        <w:right w:val="none" w:sz="0" w:space="0" w:color="auto"/>
                                                      </w:divBdr>
                                                      <w:divsChild>
                                                        <w:div w:id="1006513300">
                                                          <w:marLeft w:val="0"/>
                                                          <w:marRight w:val="0"/>
                                                          <w:marTop w:val="0"/>
                                                          <w:marBottom w:val="0"/>
                                                          <w:divBdr>
                                                            <w:top w:val="none" w:sz="0" w:space="0" w:color="auto"/>
                                                            <w:left w:val="none" w:sz="0" w:space="0" w:color="auto"/>
                                                            <w:bottom w:val="none" w:sz="0" w:space="0" w:color="auto"/>
                                                            <w:right w:val="none" w:sz="0" w:space="0" w:color="auto"/>
                                                          </w:divBdr>
                                                          <w:divsChild>
                                                            <w:div w:id="1042362239">
                                                              <w:marLeft w:val="0"/>
                                                              <w:marRight w:val="0"/>
                                                              <w:marTop w:val="0"/>
                                                              <w:marBottom w:val="0"/>
                                                              <w:divBdr>
                                                                <w:top w:val="none" w:sz="0" w:space="0" w:color="auto"/>
                                                                <w:left w:val="none" w:sz="0" w:space="0" w:color="auto"/>
                                                                <w:bottom w:val="none" w:sz="0" w:space="0" w:color="auto"/>
                                                                <w:right w:val="none" w:sz="0" w:space="0" w:color="auto"/>
                                                              </w:divBdr>
                                                              <w:divsChild>
                                                                <w:div w:id="1153840103">
                                                                  <w:marLeft w:val="0"/>
                                                                  <w:marRight w:val="0"/>
                                                                  <w:marTop w:val="0"/>
                                                                  <w:marBottom w:val="0"/>
                                                                  <w:divBdr>
                                                                    <w:top w:val="none" w:sz="0" w:space="0" w:color="auto"/>
                                                                    <w:left w:val="none" w:sz="0" w:space="0" w:color="auto"/>
                                                                    <w:bottom w:val="none" w:sz="0" w:space="0" w:color="auto"/>
                                                                    <w:right w:val="none" w:sz="0" w:space="0" w:color="auto"/>
                                                                  </w:divBdr>
                                                                  <w:divsChild>
                                                                    <w:div w:id="1542743484">
                                                                      <w:marLeft w:val="0"/>
                                                                      <w:marRight w:val="0"/>
                                                                      <w:marTop w:val="0"/>
                                                                      <w:marBottom w:val="0"/>
                                                                      <w:divBdr>
                                                                        <w:top w:val="none" w:sz="0" w:space="0" w:color="auto"/>
                                                                        <w:left w:val="none" w:sz="0" w:space="0" w:color="auto"/>
                                                                        <w:bottom w:val="none" w:sz="0" w:space="0" w:color="auto"/>
                                                                        <w:right w:val="none" w:sz="0" w:space="0" w:color="auto"/>
                                                                      </w:divBdr>
                                                                      <w:divsChild>
                                                                        <w:div w:id="940145518">
                                                                          <w:marLeft w:val="0"/>
                                                                          <w:marRight w:val="0"/>
                                                                          <w:marTop w:val="0"/>
                                                                          <w:marBottom w:val="0"/>
                                                                          <w:divBdr>
                                                                            <w:top w:val="none" w:sz="0" w:space="0" w:color="auto"/>
                                                                            <w:left w:val="none" w:sz="0" w:space="0" w:color="auto"/>
                                                                            <w:bottom w:val="none" w:sz="0" w:space="0" w:color="auto"/>
                                                                            <w:right w:val="none" w:sz="0" w:space="0" w:color="auto"/>
                                                                          </w:divBdr>
                                                                          <w:divsChild>
                                                                            <w:div w:id="1712415539">
                                                                              <w:marLeft w:val="0"/>
                                                                              <w:marRight w:val="0"/>
                                                                              <w:marTop w:val="0"/>
                                                                              <w:marBottom w:val="0"/>
                                                                              <w:divBdr>
                                                                                <w:top w:val="none" w:sz="0" w:space="0" w:color="auto"/>
                                                                                <w:left w:val="none" w:sz="0" w:space="0" w:color="auto"/>
                                                                                <w:bottom w:val="none" w:sz="0" w:space="0" w:color="auto"/>
                                                                                <w:right w:val="none" w:sz="0" w:space="0" w:color="auto"/>
                                                                              </w:divBdr>
                                                                              <w:divsChild>
                                                                                <w:div w:id="1421869459">
                                                                                  <w:marLeft w:val="0"/>
                                                                                  <w:marRight w:val="0"/>
                                                                                  <w:marTop w:val="0"/>
                                                                                  <w:marBottom w:val="0"/>
                                                                                  <w:divBdr>
                                                                                    <w:top w:val="none" w:sz="0" w:space="0" w:color="auto"/>
                                                                                    <w:left w:val="none" w:sz="0" w:space="0" w:color="auto"/>
                                                                                    <w:bottom w:val="none" w:sz="0" w:space="0" w:color="auto"/>
                                                                                    <w:right w:val="none" w:sz="0" w:space="0" w:color="auto"/>
                                                                                  </w:divBdr>
                                                                                  <w:divsChild>
                                                                                    <w:div w:id="494493388">
                                                                                      <w:marLeft w:val="0"/>
                                                                                      <w:marRight w:val="0"/>
                                                                                      <w:marTop w:val="0"/>
                                                                                      <w:marBottom w:val="0"/>
                                                                                      <w:divBdr>
                                                                                        <w:top w:val="none" w:sz="0" w:space="0" w:color="auto"/>
                                                                                        <w:left w:val="none" w:sz="0" w:space="0" w:color="auto"/>
                                                                                        <w:bottom w:val="none" w:sz="0" w:space="0" w:color="auto"/>
                                                                                        <w:right w:val="none" w:sz="0" w:space="0" w:color="auto"/>
                                                                                      </w:divBdr>
                                                                                      <w:divsChild>
                                                                                        <w:div w:id="553202714">
                                                                                          <w:marLeft w:val="0"/>
                                                                                          <w:marRight w:val="0"/>
                                                                                          <w:marTop w:val="0"/>
                                                                                          <w:marBottom w:val="0"/>
                                                                                          <w:divBdr>
                                                                                            <w:top w:val="none" w:sz="0" w:space="0" w:color="auto"/>
                                                                                            <w:left w:val="none" w:sz="0" w:space="0" w:color="auto"/>
                                                                                            <w:bottom w:val="none" w:sz="0" w:space="0" w:color="auto"/>
                                                                                            <w:right w:val="none" w:sz="0" w:space="0" w:color="auto"/>
                                                                                          </w:divBdr>
                                                                                          <w:divsChild>
                                                                                            <w:div w:id="1581019748">
                                                                                              <w:marLeft w:val="0"/>
                                                                                              <w:marRight w:val="0"/>
                                                                                              <w:marTop w:val="0"/>
                                                                                              <w:marBottom w:val="0"/>
                                                                                              <w:divBdr>
                                                                                                <w:top w:val="none" w:sz="0" w:space="0" w:color="auto"/>
                                                                                                <w:left w:val="none" w:sz="0" w:space="0" w:color="auto"/>
                                                                                                <w:bottom w:val="none" w:sz="0" w:space="0" w:color="auto"/>
                                                                                                <w:right w:val="none" w:sz="0" w:space="0" w:color="auto"/>
                                                                                              </w:divBdr>
                                                                                              <w:divsChild>
                                                                                                <w:div w:id="65368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270040">
      <w:bodyDiv w:val="1"/>
      <w:marLeft w:val="0"/>
      <w:marRight w:val="0"/>
      <w:marTop w:val="0"/>
      <w:marBottom w:val="0"/>
      <w:divBdr>
        <w:top w:val="none" w:sz="0" w:space="0" w:color="auto"/>
        <w:left w:val="none" w:sz="0" w:space="0" w:color="auto"/>
        <w:bottom w:val="none" w:sz="0" w:space="0" w:color="auto"/>
        <w:right w:val="none" w:sz="0" w:space="0" w:color="auto"/>
      </w:divBdr>
    </w:div>
    <w:div w:id="149519085">
      <w:bodyDiv w:val="1"/>
      <w:marLeft w:val="0"/>
      <w:marRight w:val="0"/>
      <w:marTop w:val="0"/>
      <w:marBottom w:val="0"/>
      <w:divBdr>
        <w:top w:val="none" w:sz="0" w:space="0" w:color="auto"/>
        <w:left w:val="none" w:sz="0" w:space="0" w:color="auto"/>
        <w:bottom w:val="none" w:sz="0" w:space="0" w:color="auto"/>
        <w:right w:val="none" w:sz="0" w:space="0" w:color="auto"/>
      </w:divBdr>
    </w:div>
    <w:div w:id="178131937">
      <w:bodyDiv w:val="1"/>
      <w:marLeft w:val="0"/>
      <w:marRight w:val="0"/>
      <w:marTop w:val="0"/>
      <w:marBottom w:val="0"/>
      <w:divBdr>
        <w:top w:val="none" w:sz="0" w:space="0" w:color="auto"/>
        <w:left w:val="none" w:sz="0" w:space="0" w:color="auto"/>
        <w:bottom w:val="none" w:sz="0" w:space="0" w:color="auto"/>
        <w:right w:val="none" w:sz="0" w:space="0" w:color="auto"/>
      </w:divBdr>
    </w:div>
    <w:div w:id="223613843">
      <w:bodyDiv w:val="1"/>
      <w:marLeft w:val="0"/>
      <w:marRight w:val="0"/>
      <w:marTop w:val="0"/>
      <w:marBottom w:val="0"/>
      <w:divBdr>
        <w:top w:val="none" w:sz="0" w:space="0" w:color="auto"/>
        <w:left w:val="none" w:sz="0" w:space="0" w:color="auto"/>
        <w:bottom w:val="none" w:sz="0" w:space="0" w:color="auto"/>
        <w:right w:val="none" w:sz="0" w:space="0" w:color="auto"/>
      </w:divBdr>
    </w:div>
    <w:div w:id="358091205">
      <w:bodyDiv w:val="1"/>
      <w:marLeft w:val="0"/>
      <w:marRight w:val="0"/>
      <w:marTop w:val="0"/>
      <w:marBottom w:val="0"/>
      <w:divBdr>
        <w:top w:val="none" w:sz="0" w:space="0" w:color="auto"/>
        <w:left w:val="none" w:sz="0" w:space="0" w:color="auto"/>
        <w:bottom w:val="none" w:sz="0" w:space="0" w:color="auto"/>
        <w:right w:val="none" w:sz="0" w:space="0" w:color="auto"/>
      </w:divBdr>
    </w:div>
    <w:div w:id="413429284">
      <w:bodyDiv w:val="1"/>
      <w:marLeft w:val="0"/>
      <w:marRight w:val="0"/>
      <w:marTop w:val="0"/>
      <w:marBottom w:val="0"/>
      <w:divBdr>
        <w:top w:val="none" w:sz="0" w:space="0" w:color="auto"/>
        <w:left w:val="none" w:sz="0" w:space="0" w:color="auto"/>
        <w:bottom w:val="none" w:sz="0" w:space="0" w:color="auto"/>
        <w:right w:val="none" w:sz="0" w:space="0" w:color="auto"/>
      </w:divBdr>
    </w:div>
    <w:div w:id="506019316">
      <w:bodyDiv w:val="1"/>
      <w:marLeft w:val="0"/>
      <w:marRight w:val="0"/>
      <w:marTop w:val="0"/>
      <w:marBottom w:val="0"/>
      <w:divBdr>
        <w:top w:val="none" w:sz="0" w:space="0" w:color="auto"/>
        <w:left w:val="none" w:sz="0" w:space="0" w:color="auto"/>
        <w:bottom w:val="none" w:sz="0" w:space="0" w:color="auto"/>
        <w:right w:val="none" w:sz="0" w:space="0" w:color="auto"/>
      </w:divBdr>
    </w:div>
    <w:div w:id="584648093">
      <w:bodyDiv w:val="1"/>
      <w:marLeft w:val="0"/>
      <w:marRight w:val="0"/>
      <w:marTop w:val="0"/>
      <w:marBottom w:val="0"/>
      <w:divBdr>
        <w:top w:val="none" w:sz="0" w:space="0" w:color="auto"/>
        <w:left w:val="none" w:sz="0" w:space="0" w:color="auto"/>
        <w:bottom w:val="none" w:sz="0" w:space="0" w:color="auto"/>
        <w:right w:val="none" w:sz="0" w:space="0" w:color="auto"/>
      </w:divBdr>
    </w:div>
    <w:div w:id="611597001">
      <w:bodyDiv w:val="1"/>
      <w:marLeft w:val="0"/>
      <w:marRight w:val="0"/>
      <w:marTop w:val="0"/>
      <w:marBottom w:val="0"/>
      <w:divBdr>
        <w:top w:val="none" w:sz="0" w:space="0" w:color="auto"/>
        <w:left w:val="none" w:sz="0" w:space="0" w:color="auto"/>
        <w:bottom w:val="none" w:sz="0" w:space="0" w:color="auto"/>
        <w:right w:val="none" w:sz="0" w:space="0" w:color="auto"/>
      </w:divBdr>
    </w:div>
    <w:div w:id="767431414">
      <w:bodyDiv w:val="1"/>
      <w:marLeft w:val="0"/>
      <w:marRight w:val="0"/>
      <w:marTop w:val="0"/>
      <w:marBottom w:val="0"/>
      <w:divBdr>
        <w:top w:val="none" w:sz="0" w:space="0" w:color="auto"/>
        <w:left w:val="none" w:sz="0" w:space="0" w:color="auto"/>
        <w:bottom w:val="none" w:sz="0" w:space="0" w:color="auto"/>
        <w:right w:val="none" w:sz="0" w:space="0" w:color="auto"/>
      </w:divBdr>
      <w:divsChild>
        <w:div w:id="918057032">
          <w:marLeft w:val="547"/>
          <w:marRight w:val="0"/>
          <w:marTop w:val="115"/>
          <w:marBottom w:val="0"/>
          <w:divBdr>
            <w:top w:val="none" w:sz="0" w:space="0" w:color="auto"/>
            <w:left w:val="none" w:sz="0" w:space="0" w:color="auto"/>
            <w:bottom w:val="none" w:sz="0" w:space="0" w:color="auto"/>
            <w:right w:val="none" w:sz="0" w:space="0" w:color="auto"/>
          </w:divBdr>
        </w:div>
      </w:divsChild>
    </w:div>
    <w:div w:id="1162431261">
      <w:bodyDiv w:val="1"/>
      <w:marLeft w:val="0"/>
      <w:marRight w:val="0"/>
      <w:marTop w:val="0"/>
      <w:marBottom w:val="0"/>
      <w:divBdr>
        <w:top w:val="none" w:sz="0" w:space="0" w:color="auto"/>
        <w:left w:val="none" w:sz="0" w:space="0" w:color="auto"/>
        <w:bottom w:val="none" w:sz="0" w:space="0" w:color="auto"/>
        <w:right w:val="none" w:sz="0" w:space="0" w:color="auto"/>
      </w:divBdr>
    </w:div>
    <w:div w:id="1211962417">
      <w:bodyDiv w:val="1"/>
      <w:marLeft w:val="0"/>
      <w:marRight w:val="0"/>
      <w:marTop w:val="0"/>
      <w:marBottom w:val="0"/>
      <w:divBdr>
        <w:top w:val="none" w:sz="0" w:space="0" w:color="auto"/>
        <w:left w:val="none" w:sz="0" w:space="0" w:color="auto"/>
        <w:bottom w:val="none" w:sz="0" w:space="0" w:color="auto"/>
        <w:right w:val="none" w:sz="0" w:space="0" w:color="auto"/>
      </w:divBdr>
    </w:div>
    <w:div w:id="1269967296">
      <w:bodyDiv w:val="1"/>
      <w:marLeft w:val="0"/>
      <w:marRight w:val="0"/>
      <w:marTop w:val="0"/>
      <w:marBottom w:val="0"/>
      <w:divBdr>
        <w:top w:val="none" w:sz="0" w:space="0" w:color="auto"/>
        <w:left w:val="none" w:sz="0" w:space="0" w:color="auto"/>
        <w:bottom w:val="none" w:sz="0" w:space="0" w:color="auto"/>
        <w:right w:val="none" w:sz="0" w:space="0" w:color="auto"/>
      </w:divBdr>
    </w:div>
    <w:div w:id="1370372812">
      <w:bodyDiv w:val="1"/>
      <w:marLeft w:val="0"/>
      <w:marRight w:val="0"/>
      <w:marTop w:val="0"/>
      <w:marBottom w:val="0"/>
      <w:divBdr>
        <w:top w:val="none" w:sz="0" w:space="0" w:color="auto"/>
        <w:left w:val="none" w:sz="0" w:space="0" w:color="auto"/>
        <w:bottom w:val="none" w:sz="0" w:space="0" w:color="auto"/>
        <w:right w:val="none" w:sz="0" w:space="0" w:color="auto"/>
      </w:divBdr>
    </w:div>
    <w:div w:id="1473255578">
      <w:bodyDiv w:val="1"/>
      <w:marLeft w:val="0"/>
      <w:marRight w:val="0"/>
      <w:marTop w:val="0"/>
      <w:marBottom w:val="0"/>
      <w:divBdr>
        <w:top w:val="none" w:sz="0" w:space="0" w:color="auto"/>
        <w:left w:val="none" w:sz="0" w:space="0" w:color="auto"/>
        <w:bottom w:val="none" w:sz="0" w:space="0" w:color="auto"/>
        <w:right w:val="none" w:sz="0" w:space="0" w:color="auto"/>
      </w:divBdr>
    </w:div>
    <w:div w:id="1678534044">
      <w:bodyDiv w:val="1"/>
      <w:marLeft w:val="0"/>
      <w:marRight w:val="0"/>
      <w:marTop w:val="0"/>
      <w:marBottom w:val="0"/>
      <w:divBdr>
        <w:top w:val="none" w:sz="0" w:space="0" w:color="auto"/>
        <w:left w:val="none" w:sz="0" w:space="0" w:color="auto"/>
        <w:bottom w:val="none" w:sz="0" w:space="0" w:color="auto"/>
        <w:right w:val="none" w:sz="0" w:space="0" w:color="auto"/>
      </w:divBdr>
    </w:div>
    <w:div w:id="1726102575">
      <w:bodyDiv w:val="1"/>
      <w:marLeft w:val="0"/>
      <w:marRight w:val="0"/>
      <w:marTop w:val="0"/>
      <w:marBottom w:val="0"/>
      <w:divBdr>
        <w:top w:val="none" w:sz="0" w:space="0" w:color="auto"/>
        <w:left w:val="none" w:sz="0" w:space="0" w:color="auto"/>
        <w:bottom w:val="none" w:sz="0" w:space="0" w:color="auto"/>
        <w:right w:val="none" w:sz="0" w:space="0" w:color="auto"/>
      </w:divBdr>
    </w:div>
    <w:div w:id="1850293120">
      <w:bodyDiv w:val="1"/>
      <w:marLeft w:val="0"/>
      <w:marRight w:val="0"/>
      <w:marTop w:val="0"/>
      <w:marBottom w:val="0"/>
      <w:divBdr>
        <w:top w:val="none" w:sz="0" w:space="0" w:color="auto"/>
        <w:left w:val="none" w:sz="0" w:space="0" w:color="auto"/>
        <w:bottom w:val="none" w:sz="0" w:space="0" w:color="auto"/>
        <w:right w:val="none" w:sz="0" w:space="0" w:color="auto"/>
      </w:divBdr>
    </w:div>
    <w:div w:id="1858346892">
      <w:bodyDiv w:val="1"/>
      <w:marLeft w:val="0"/>
      <w:marRight w:val="0"/>
      <w:marTop w:val="0"/>
      <w:marBottom w:val="0"/>
      <w:divBdr>
        <w:top w:val="none" w:sz="0" w:space="0" w:color="auto"/>
        <w:left w:val="none" w:sz="0" w:space="0" w:color="auto"/>
        <w:bottom w:val="none" w:sz="0" w:space="0" w:color="auto"/>
        <w:right w:val="none" w:sz="0" w:space="0" w:color="auto"/>
      </w:divBdr>
    </w:div>
    <w:div w:id="1859856804">
      <w:bodyDiv w:val="1"/>
      <w:marLeft w:val="0"/>
      <w:marRight w:val="0"/>
      <w:marTop w:val="0"/>
      <w:marBottom w:val="0"/>
      <w:divBdr>
        <w:top w:val="none" w:sz="0" w:space="0" w:color="auto"/>
        <w:left w:val="none" w:sz="0" w:space="0" w:color="auto"/>
        <w:bottom w:val="none" w:sz="0" w:space="0" w:color="auto"/>
        <w:right w:val="none" w:sz="0" w:space="0" w:color="auto"/>
      </w:divBdr>
    </w:div>
    <w:div w:id="1865557785">
      <w:bodyDiv w:val="1"/>
      <w:marLeft w:val="0"/>
      <w:marRight w:val="0"/>
      <w:marTop w:val="0"/>
      <w:marBottom w:val="0"/>
      <w:divBdr>
        <w:top w:val="none" w:sz="0" w:space="0" w:color="auto"/>
        <w:left w:val="none" w:sz="0" w:space="0" w:color="auto"/>
        <w:bottom w:val="none" w:sz="0" w:space="0" w:color="auto"/>
        <w:right w:val="none" w:sz="0" w:space="0" w:color="auto"/>
      </w:divBdr>
    </w:div>
    <w:div w:id="1934362515">
      <w:bodyDiv w:val="1"/>
      <w:marLeft w:val="0"/>
      <w:marRight w:val="0"/>
      <w:marTop w:val="0"/>
      <w:marBottom w:val="0"/>
      <w:divBdr>
        <w:top w:val="none" w:sz="0" w:space="0" w:color="auto"/>
        <w:left w:val="none" w:sz="0" w:space="0" w:color="auto"/>
        <w:bottom w:val="none" w:sz="0" w:space="0" w:color="auto"/>
        <w:right w:val="none" w:sz="0" w:space="0" w:color="auto"/>
      </w:divBdr>
    </w:div>
    <w:div w:id="20791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pers.ssrn.com/sol3/papers.cfm?abstract_id=364140"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papers.ssrn.com/sol3/papers.cfm?abstract_id=368420" TargetMode="External"/><Relationship Id="rId4" Type="http://schemas.openxmlformats.org/officeDocument/2006/relationships/settings" Target="settings.xml"/><Relationship Id="rId9" Type="http://schemas.openxmlformats.org/officeDocument/2006/relationships/hyperlink" Target="http://apps.webofknowledge.com/full_record.do?product=WOS&amp;search_mode=CitationReport&amp;qid=3&amp;SID=1AwGEwjzSHxt4P7Bc4g&amp;page=1&amp;doc=10"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08D9E-1165-4553-BE4F-5D8897C9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12057</Words>
  <Characters>68728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80624</CharactersWithSpaces>
  <SharedDoc>false</SharedDoc>
  <HLinks>
    <vt:vector size="42" baseType="variant">
      <vt:variant>
        <vt:i4>2883613</vt:i4>
      </vt:variant>
      <vt:variant>
        <vt:i4>42</vt:i4>
      </vt:variant>
      <vt:variant>
        <vt:i4>0</vt:i4>
      </vt:variant>
      <vt:variant>
        <vt:i4>5</vt:i4>
      </vt:variant>
      <vt:variant>
        <vt:lpwstr>http://papers.ssrn.com/sol3/papers.cfm?abstract_id=368420</vt:lpwstr>
      </vt:variant>
      <vt:variant>
        <vt:lpwstr/>
      </vt:variant>
      <vt:variant>
        <vt:i4>3670113</vt:i4>
      </vt:variant>
      <vt:variant>
        <vt:i4>39</vt:i4>
      </vt:variant>
      <vt:variant>
        <vt:i4>0</vt:i4>
      </vt:variant>
      <vt:variant>
        <vt:i4>5</vt:i4>
      </vt:variant>
      <vt:variant>
        <vt:lpwstr>http://apps.webofknowledge.com/full_record.do?product=WOS&amp;search_mode=CitationReport&amp;qid=3&amp;SID=1AwGEwjzSHxt4P7Bc4g&amp;page=1&amp;doc=10</vt:lpwstr>
      </vt:variant>
      <vt:variant>
        <vt:lpwstr/>
      </vt:variant>
      <vt:variant>
        <vt:i4>2359320</vt:i4>
      </vt:variant>
      <vt:variant>
        <vt:i4>36</vt:i4>
      </vt:variant>
      <vt:variant>
        <vt:i4>0</vt:i4>
      </vt:variant>
      <vt:variant>
        <vt:i4>5</vt:i4>
      </vt:variant>
      <vt:variant>
        <vt:lpwstr>http://papers.ssrn.com/sol3/papers.cfm?abstract_id=364161</vt:lpwstr>
      </vt:variant>
      <vt:variant>
        <vt:lpwstr/>
      </vt:variant>
      <vt:variant>
        <vt:i4>2490392</vt:i4>
      </vt:variant>
      <vt:variant>
        <vt:i4>33</vt:i4>
      </vt:variant>
      <vt:variant>
        <vt:i4>0</vt:i4>
      </vt:variant>
      <vt:variant>
        <vt:i4>5</vt:i4>
      </vt:variant>
      <vt:variant>
        <vt:lpwstr>http://papers.ssrn.com/sol3/papers.cfm?abstract_id=364140</vt:lpwstr>
      </vt:variant>
      <vt:variant>
        <vt:lpwstr/>
      </vt:variant>
      <vt:variant>
        <vt:i4>6488123</vt:i4>
      </vt:variant>
      <vt:variant>
        <vt:i4>6</vt:i4>
      </vt:variant>
      <vt:variant>
        <vt:i4>0</vt:i4>
      </vt:variant>
      <vt:variant>
        <vt:i4>5</vt:i4>
      </vt:variant>
      <vt:variant>
        <vt:lpwstr>http://jiangxi.jxnews.com.cn/system/2008/08/23/002826923.shtml</vt:lpwstr>
      </vt:variant>
      <vt:variant>
        <vt:lpwstr/>
      </vt:variant>
      <vt:variant>
        <vt:i4>5242933</vt:i4>
      </vt:variant>
      <vt:variant>
        <vt:i4>3</vt:i4>
      </vt:variant>
      <vt:variant>
        <vt:i4>0</vt:i4>
      </vt:variant>
      <vt:variant>
        <vt:i4>5</vt:i4>
      </vt:variant>
      <vt:variant>
        <vt:lpwstr>http://www.cfen.com.cn/web/meyw/2006-03/02/content_224793.htm</vt:lpwstr>
      </vt:variant>
      <vt:variant>
        <vt:lpwstr/>
      </vt:variant>
      <vt:variant>
        <vt:i4>8257590</vt:i4>
      </vt:variant>
      <vt:variant>
        <vt:i4>0</vt:i4>
      </vt:variant>
      <vt:variant>
        <vt:i4>0</vt:i4>
      </vt:variant>
      <vt:variant>
        <vt:i4>5</vt:i4>
      </vt:variant>
      <vt:variant>
        <vt:lpwstr>http://gsrb.gansudaily.com.cn/system/2004/06/04/000120947.shtml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L. Colin Xu</cp:lastModifiedBy>
  <cp:revision>3</cp:revision>
  <cp:lastPrinted>2015-05-01T15:17:00Z</cp:lastPrinted>
  <dcterms:created xsi:type="dcterms:W3CDTF">2015-09-03T20:47:00Z</dcterms:created>
  <dcterms:modified xsi:type="dcterms:W3CDTF">2015-09-03T20:52:00Z</dcterms:modified>
</cp:coreProperties>
</file>